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34E" w:rsidRPr="0022234E" w:rsidRDefault="0022234E" w:rsidP="0022234E">
      <w:pPr>
        <w:ind w:left="4820" w:right="142"/>
        <w:jc w:val="right"/>
        <w:rPr>
          <w:rFonts w:eastAsia="Calibri"/>
          <w:lang w:val="ro-RO" w:eastAsia="en-US"/>
        </w:rPr>
      </w:pPr>
      <w:r w:rsidRPr="0022234E">
        <w:rPr>
          <w:rFonts w:eastAsia="Calibri"/>
          <w:lang w:val="ro-RO" w:eastAsia="en-US"/>
        </w:rPr>
        <w:t>Anexa nr.4</w:t>
      </w:r>
    </w:p>
    <w:p w:rsidR="0022234E" w:rsidRPr="0022234E" w:rsidRDefault="0022234E" w:rsidP="0022234E">
      <w:pPr>
        <w:shd w:val="clear" w:color="auto" w:fill="FFFFFF"/>
        <w:ind w:left="-567" w:firstLine="425"/>
        <w:jc w:val="center"/>
        <w:rPr>
          <w:rFonts w:eastAsia="Calibri"/>
          <w:b/>
          <w:sz w:val="28"/>
          <w:szCs w:val="28"/>
          <w:lang w:val="ro-RO" w:eastAsia="en-US"/>
        </w:rPr>
      </w:pPr>
      <w:bookmarkStart w:id="0" w:name="_GoBack"/>
      <w:bookmarkEnd w:id="0"/>
    </w:p>
    <w:p w:rsidR="0022234E" w:rsidRPr="0022234E" w:rsidRDefault="0022234E" w:rsidP="0022234E">
      <w:pPr>
        <w:spacing w:after="160" w:line="259" w:lineRule="auto"/>
        <w:ind w:left="-567" w:firstLine="425"/>
        <w:jc w:val="center"/>
        <w:rPr>
          <w:rFonts w:eastAsia="Calibri"/>
          <w:b/>
          <w:lang w:val="ro-RO" w:eastAsia="en-US"/>
        </w:rPr>
      </w:pPr>
      <w:r w:rsidRPr="0022234E">
        <w:rPr>
          <w:rFonts w:eastAsia="Calibri"/>
          <w:b/>
          <w:lang w:val="ro-RO" w:eastAsia="en-US"/>
        </w:rPr>
        <w:t>Comentariile Comitetului Codului Vamal și ale Grupului de experți vamali</w:t>
      </w:r>
      <w:r w:rsidRPr="0022234E">
        <w:rPr>
          <w:rFonts w:eastAsia="Calibri"/>
          <w:b/>
          <w:vertAlign w:val="superscript"/>
          <w:lang w:val="ro-RO" w:eastAsia="en-US"/>
        </w:rPr>
        <w:footnoteReference w:id="1"/>
      </w:r>
    </w:p>
    <w:p w:rsidR="0022234E" w:rsidRPr="0022234E" w:rsidRDefault="0022234E" w:rsidP="0022234E">
      <w:pPr>
        <w:spacing w:after="160" w:line="259" w:lineRule="auto"/>
        <w:ind w:left="-567" w:firstLine="425"/>
        <w:jc w:val="center"/>
        <w:rPr>
          <w:rFonts w:eastAsia="Calibri"/>
          <w:b/>
          <w:bCs/>
          <w:i/>
          <w:lang w:val="ro-RO" w:eastAsia="en-US"/>
        </w:rPr>
      </w:pPr>
      <w:r w:rsidRPr="0022234E">
        <w:rPr>
          <w:rFonts w:eastAsia="Calibri"/>
          <w:b/>
          <w:i/>
          <w:lang w:val="ro-RO" w:eastAsia="en-US"/>
        </w:rPr>
        <w:t xml:space="preserve"> Cu privire la </w:t>
      </w:r>
      <w:r w:rsidRPr="0022234E">
        <w:rPr>
          <w:rFonts w:eastAsia="Calibri"/>
          <w:b/>
          <w:bCs/>
          <w:i/>
          <w:lang w:val="ro-RO" w:eastAsia="en-US"/>
        </w:rPr>
        <w:t xml:space="preserve">cheltuielile de transport </w:t>
      </w:r>
    </w:p>
    <w:p w:rsidR="0022234E" w:rsidRPr="0022234E" w:rsidRDefault="0022234E" w:rsidP="0022234E">
      <w:pPr>
        <w:spacing w:after="160" w:line="259" w:lineRule="auto"/>
        <w:ind w:left="-567"/>
        <w:jc w:val="center"/>
        <w:rPr>
          <w:rFonts w:eastAsia="Calibri"/>
          <w:b/>
          <w:bCs/>
          <w:lang w:val="ro-RO" w:eastAsia="en-US"/>
        </w:rPr>
      </w:pPr>
      <w:r w:rsidRPr="0022234E">
        <w:rPr>
          <w:rFonts w:eastAsia="Calibri"/>
          <w:b/>
          <w:bCs/>
          <w:lang w:val="ro-RO" w:eastAsia="en-US"/>
        </w:rPr>
        <w:t>Comentariul nr. 9</w:t>
      </w:r>
    </w:p>
    <w:p w:rsidR="0022234E" w:rsidRPr="0022234E" w:rsidRDefault="0022234E" w:rsidP="0022234E">
      <w:pPr>
        <w:spacing w:after="160" w:line="276" w:lineRule="auto"/>
        <w:ind w:left="-567"/>
        <w:jc w:val="center"/>
        <w:rPr>
          <w:rFonts w:eastAsia="Calibri"/>
          <w:b/>
          <w:bCs/>
          <w:lang w:val="ro-RO" w:eastAsia="en-US"/>
        </w:rPr>
      </w:pPr>
      <w:r w:rsidRPr="0022234E">
        <w:rPr>
          <w:rFonts w:eastAsia="Calibri"/>
          <w:b/>
          <w:bCs/>
          <w:lang w:val="ro-RO" w:eastAsia="en-US"/>
        </w:rPr>
        <w:t>Repartizarea costurilor de transport aerian</w:t>
      </w:r>
    </w:p>
    <w:p w:rsidR="0022234E" w:rsidRPr="0022234E" w:rsidRDefault="0022234E" w:rsidP="0022234E">
      <w:pPr>
        <w:spacing w:after="160" w:line="276" w:lineRule="auto"/>
        <w:ind w:left="-567"/>
        <w:jc w:val="both"/>
        <w:rPr>
          <w:rFonts w:eastAsia="Calibri"/>
          <w:b/>
          <w:bCs/>
          <w:lang w:val="ro-RO" w:eastAsia="en-US"/>
        </w:rPr>
      </w:pPr>
      <w:r w:rsidRPr="0022234E">
        <w:rPr>
          <w:rFonts w:eastAsia="Calibri"/>
          <w:b/>
          <w:bCs/>
          <w:lang w:val="ro-RO" w:eastAsia="en-US"/>
        </w:rPr>
        <w:t xml:space="preserve"> (în conformitate cu anexa 23-01 la Regulamentul de punere în aplicare (UE) 2015/2447 al Comisiei din 24 noiembrie 2015 de stabilire a unor norme pentru punerea în aplicare a anumitor dispoziții din Regulamentul (UE) nr. 952/2013 al Parlamentului European și al Consiliului de stabilire a Codului vamal al Uniunii</w:t>
      </w:r>
      <w:r w:rsidRPr="0022234E">
        <w:rPr>
          <w:rFonts w:eastAsia="Calibri"/>
          <w:b/>
          <w:bCs/>
          <w:i/>
          <w:lang w:val="ro-RO" w:eastAsia="en-US"/>
        </w:rPr>
        <w:t xml:space="preserve"> </w:t>
      </w:r>
      <w:r w:rsidRPr="0022234E">
        <w:rPr>
          <w:rFonts w:eastAsia="Calibri"/>
          <w:b/>
          <w:bCs/>
          <w:vertAlign w:val="superscript"/>
          <w:lang w:val="ro-RO" w:eastAsia="en-US"/>
        </w:rPr>
        <w:footnoteReference w:id="2"/>
      </w:r>
      <w:r w:rsidRPr="0022234E">
        <w:rPr>
          <w:rFonts w:eastAsia="Calibri"/>
          <w:b/>
          <w:bCs/>
          <w:lang w:val="ro-RO" w:eastAsia="en-US"/>
        </w:rPr>
        <w:t>)</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Este posibil ca repartizarea costurilor de transport aerian să fie aplicată întregii călătorii sau numai unei părţi din aceasta atunci când mărfurile sunt transportate în două zboruri consecutive cu companii aeriene diferite în timpul călătoriei din ţara de expediere către ţara din Uniunea Europeană</w:t>
      </w:r>
      <w:r w:rsidRPr="0022234E">
        <w:rPr>
          <w:rFonts w:eastAsia="Calibri"/>
          <w:bCs/>
          <w:vertAlign w:val="superscript"/>
          <w:lang w:val="ro-RO" w:eastAsia="en-US"/>
        </w:rPr>
        <w:footnoteReference w:id="3"/>
      </w:r>
      <w:r w:rsidRPr="0022234E">
        <w:rPr>
          <w:rFonts w:eastAsia="Calibri"/>
          <w:bCs/>
          <w:lang w:val="ro-RO" w:eastAsia="en-US"/>
        </w:rPr>
        <w:t>?</w:t>
      </w:r>
    </w:p>
    <w:p w:rsidR="0022234E" w:rsidRPr="0022234E" w:rsidRDefault="0022234E" w:rsidP="0022234E">
      <w:pPr>
        <w:spacing w:after="160" w:line="276" w:lineRule="auto"/>
        <w:ind w:left="-567"/>
        <w:jc w:val="both"/>
        <w:rPr>
          <w:rFonts w:eastAsia="Calibri"/>
          <w:bCs/>
          <w:i/>
          <w:lang w:val="ro-RO" w:eastAsia="en-US"/>
        </w:rPr>
      </w:pPr>
      <w:r w:rsidRPr="0022234E">
        <w:rPr>
          <w:rFonts w:eastAsia="Calibri"/>
          <w:bCs/>
          <w:i/>
          <w:lang w:val="ro-RO" w:eastAsia="en-US"/>
        </w:rPr>
        <w:t>Exemplu</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Cumpărătorul achiziţionează mărfurile de la un furnizor din Columbia, de unde provin mărfurile, acestea fiind transferate pe cale aeriană într-un stat membru. Totuşi, călătoria este efectuată în două etape, prima fiind de la Bogotá la Miami, unde în Miami, mărfurile sunt transferate unei alte companii aeriene pentru restul călătoriei către UE. Pentru fiecare etapă a călătoriei sunt emise note de plată separate (şi taxe de transport) pentru fiecare companie aeriană.</w:t>
      </w:r>
    </w:p>
    <w:p w:rsidR="0022234E" w:rsidRPr="0022234E" w:rsidRDefault="0022234E" w:rsidP="0022234E">
      <w:pPr>
        <w:spacing w:after="160" w:line="276" w:lineRule="auto"/>
        <w:ind w:left="-567"/>
        <w:jc w:val="both"/>
        <w:rPr>
          <w:rFonts w:eastAsia="Calibri"/>
          <w:b/>
          <w:bCs/>
          <w:i/>
          <w:lang w:val="ro-RO" w:eastAsia="en-US"/>
        </w:rPr>
      </w:pPr>
      <w:r w:rsidRPr="0022234E">
        <w:rPr>
          <w:rFonts w:eastAsia="Calibri"/>
          <w:b/>
          <w:bCs/>
          <w:i/>
          <w:lang w:val="ro-RO" w:eastAsia="en-US"/>
        </w:rPr>
        <w:t>Opţiunea 1</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Suma totală pentru prima etapă a călătoriei (Bogotá – Miami) trebuie inclusă în valoarea în vamă, iar pentru a doua etapă a călătoriei (Miami – UE) se face o repartizare procentuală, utilizând procentajul prevăzut pentru o operaţiune începută la aeroportul de plecare, în conformitate cu anexa 23-01 la UCC IA (zona B).</w:t>
      </w:r>
    </w:p>
    <w:p w:rsidR="0022234E" w:rsidRPr="0022234E" w:rsidRDefault="0022234E" w:rsidP="0022234E">
      <w:pPr>
        <w:spacing w:after="160" w:line="276" w:lineRule="auto"/>
        <w:ind w:left="-567"/>
        <w:jc w:val="both"/>
        <w:rPr>
          <w:rFonts w:eastAsia="Calibri"/>
          <w:b/>
          <w:bCs/>
          <w:i/>
          <w:lang w:val="ro-RO" w:eastAsia="en-US"/>
        </w:rPr>
      </w:pPr>
      <w:r w:rsidRPr="0022234E">
        <w:rPr>
          <w:rFonts w:eastAsia="Calibri"/>
          <w:b/>
          <w:bCs/>
          <w:i/>
          <w:lang w:val="ro-RO" w:eastAsia="en-US"/>
        </w:rPr>
        <w:t>Opţiunea 2</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Principiul repartizării se aplică cheltuielilor totale de transport aerian (Bogotá - Miami şi Miami - UE) utilizând procentajul prevăzut pentru Bogotá în anexa 23-01 la UCC IA (de asemenea, zona B).</w:t>
      </w:r>
    </w:p>
    <w:p w:rsidR="0022234E" w:rsidRPr="0022234E" w:rsidRDefault="0022234E" w:rsidP="0022234E">
      <w:pPr>
        <w:spacing w:after="160" w:line="276" w:lineRule="auto"/>
        <w:ind w:left="-567"/>
        <w:jc w:val="both"/>
        <w:rPr>
          <w:rFonts w:eastAsia="Calibri"/>
          <w:b/>
          <w:bCs/>
          <w:i/>
          <w:lang w:val="ro-RO" w:eastAsia="en-US"/>
        </w:rPr>
      </w:pPr>
      <w:r w:rsidRPr="0022234E">
        <w:rPr>
          <w:rFonts w:eastAsia="Calibri"/>
          <w:b/>
          <w:bCs/>
          <w:i/>
          <w:lang w:val="ro-RO" w:eastAsia="en-US"/>
        </w:rPr>
        <w:t>Concluzie</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În cazul descris anterior, principiul repartizării ar trebui să se aplice doar cheltuielilor de transport aerian de la Miami în UE, având în vedere faptul că transportul mărfurilor a fost evident întrerupt în Miami: compania aeriană a fost diferită şi au fost emise note de plată separate pentru transportul aerian. Transportul de la Bogotá la Miami nu este în mod necesar legat de transportul de la Miami în UE, după cum prevede regula „acelaşi mod de transport” (art. 138 alin. (1) din UCC IA/ pct. 84 din Regulament).</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lastRenderedPageBreak/>
        <w:t>Repartizarea din anexa 23-01 simplifică calcularea cheltuielilor de transport, evitând necesitatea de a calcula cheltuielile de transport intracomunitar, care trebuie omise din totalul cheltuielilor de transportul aerian.</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Dacă modul de transport pe cale maritimă s-ar fi schimbat în Miami într-un mod de transport pe cale aeriană, toate cheltuielile de transport maritim ar fi fost incluse în valoarea în vamă.</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În alte cazuri, concluzia poate fi diferită. Este necesar un studiu de la caz la caz. Dacă transportul este întrerupt doar din motive logistice şi există o singură notă de plată pentru transportul aerian, procentajul corespunzător aplicabil cheltuielilor totale de transport pe distanţa de la aeroportul (zona) iniţial(ă) de plecare la aeroportul (zona) de destinaţie din Uniune va fi inclus în valoarea în vamă.</w:t>
      </w:r>
    </w:p>
    <w:p w:rsidR="0022234E" w:rsidRPr="0022234E" w:rsidRDefault="0022234E" w:rsidP="0022234E">
      <w:pPr>
        <w:spacing w:after="160" w:line="276" w:lineRule="auto"/>
        <w:ind w:left="-567"/>
        <w:jc w:val="both"/>
        <w:rPr>
          <w:rFonts w:eastAsia="Calibri"/>
          <w:bCs/>
          <w:lang w:val="ro-RO" w:eastAsia="en-US"/>
        </w:rPr>
      </w:pPr>
      <w:r w:rsidRPr="0022234E">
        <w:rPr>
          <w:rFonts w:eastAsia="Calibri"/>
          <w:bCs/>
          <w:lang w:val="ro-RO" w:eastAsia="en-US"/>
        </w:rPr>
        <w:t>Într-un astfel de caz, va trebui să se dovedească, spre satisfacţia autorităţilor vamale, că întreruperea a fost cauzată din motive logistice şi că respectiva călătorie trebuie considerată o singură operaţiune de transport (o notă de plată unică). Numai atunci se poate calcula repartizarea pentru întreaga operaţiune de transport în conformitate cu anexa 23-01.</w:t>
      </w:r>
    </w:p>
    <w:p w:rsidR="0022234E" w:rsidRPr="0022234E" w:rsidRDefault="0022234E" w:rsidP="0022234E">
      <w:pPr>
        <w:spacing w:after="160" w:line="259" w:lineRule="auto"/>
        <w:ind w:left="-567"/>
        <w:jc w:val="center"/>
        <w:rPr>
          <w:rFonts w:eastAsia="Calibri"/>
          <w:b/>
          <w:bCs/>
          <w:lang w:val="ro-RO" w:eastAsia="en-US"/>
        </w:rPr>
      </w:pPr>
      <w:r w:rsidRPr="0022234E">
        <w:rPr>
          <w:rFonts w:eastAsia="Calibri"/>
          <w:b/>
          <w:bCs/>
          <w:lang w:val="ro-RO" w:eastAsia="en-US"/>
        </w:rPr>
        <w:t>Comentariul nr. 12</w:t>
      </w:r>
    </w:p>
    <w:p w:rsidR="0022234E" w:rsidRPr="0022234E" w:rsidRDefault="0022234E" w:rsidP="0022234E">
      <w:pPr>
        <w:tabs>
          <w:tab w:val="left" w:pos="1628"/>
        </w:tabs>
        <w:spacing w:after="100" w:afterAutospacing="1" w:line="276" w:lineRule="auto"/>
        <w:ind w:left="-567"/>
        <w:jc w:val="center"/>
        <w:rPr>
          <w:rFonts w:eastAsia="Calibri"/>
          <w:b/>
          <w:lang w:val="ro-RO" w:eastAsia="en-US"/>
        </w:rPr>
      </w:pPr>
      <w:r w:rsidRPr="0022234E">
        <w:rPr>
          <w:rFonts w:eastAsia="Calibri"/>
          <w:b/>
          <w:lang w:val="ro-RO" w:eastAsia="en-US"/>
        </w:rPr>
        <w:t>Tratamentul costurilor de transport (transport maritim și aerian)</w:t>
      </w:r>
    </w:p>
    <w:p w:rsidR="0022234E" w:rsidRPr="0022234E" w:rsidRDefault="0022234E" w:rsidP="0022234E">
      <w:pPr>
        <w:tabs>
          <w:tab w:val="left" w:pos="1628"/>
        </w:tabs>
        <w:spacing w:after="100" w:afterAutospacing="1" w:line="276" w:lineRule="auto"/>
        <w:ind w:left="-567"/>
        <w:jc w:val="both"/>
        <w:rPr>
          <w:rFonts w:eastAsia="Calibri"/>
          <w:b/>
          <w:lang w:val="ro-RO" w:eastAsia="en-US"/>
        </w:rPr>
      </w:pPr>
      <w:r w:rsidRPr="0022234E">
        <w:rPr>
          <w:rFonts w:eastAsia="Calibri"/>
          <w:b/>
          <w:lang w:val="ro-RO" w:eastAsia="en-US"/>
        </w:rPr>
        <w:t>Tratarea costurilor suplimentare de transport aerian suportate din cauza livrării cu întârziere</w:t>
      </w:r>
    </w:p>
    <w:p w:rsidR="0022234E" w:rsidRPr="0022234E" w:rsidRDefault="0022234E" w:rsidP="0022234E">
      <w:pPr>
        <w:tabs>
          <w:tab w:val="left" w:pos="1628"/>
        </w:tabs>
        <w:spacing w:after="100" w:afterAutospacing="1" w:line="276" w:lineRule="auto"/>
        <w:ind w:left="-567"/>
        <w:jc w:val="both"/>
        <w:rPr>
          <w:rFonts w:eastAsia="Calibri"/>
          <w:b/>
          <w:lang w:val="ro-RO" w:eastAsia="en-US"/>
        </w:rPr>
      </w:pPr>
      <w:r w:rsidRPr="0022234E">
        <w:rPr>
          <w:rFonts w:eastAsia="Calibri"/>
          <w:b/>
          <w:lang w:val="ro-RO" w:eastAsia="en-US"/>
        </w:rPr>
        <w:t>Context</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Pentru a respecta un termen contractual, se utilizează un alt mijloc de transport, altul decât cel declarat în scopul evaluării vamale, furnizorul suportînd costul suplimentar de transport. Costul respectiv reprezintă diferența dintre costul normal al transportului maritim și cel al transportului aerian. Numai costul inferior al transportului maritim este declarat la momentul importului în conformitate cu prevederile art. 71 alin. (1) lit. (e) din Regulamentul (UE) NR. 952/2013 al Parlamentului European și al Consiliului din 9 octombrie 2013 de stabilire a Codului vamal al Uniunii</w:t>
      </w:r>
      <w:r w:rsidRPr="0022234E">
        <w:rPr>
          <w:rFonts w:eastAsia="Calibri"/>
          <w:vertAlign w:val="superscript"/>
          <w:lang w:val="ro-RO" w:eastAsia="en-US"/>
        </w:rPr>
        <w:footnoteReference w:id="4"/>
      </w:r>
      <w:r w:rsidRPr="0022234E">
        <w:rPr>
          <w:rFonts w:eastAsia="Calibri"/>
          <w:lang w:val="ro-RO" w:eastAsia="en-US"/>
        </w:rPr>
        <w:t>/ art. 74 alin. (1) pct. 5) din Cod.</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Tratamentul de evaluare al costurilor reale de transport nu ar trebui să fie diferit, în funcție de existența unor aranjamente CIF sau FOB.</w:t>
      </w:r>
    </w:p>
    <w:p w:rsidR="0022234E" w:rsidRPr="0022234E" w:rsidRDefault="0022234E" w:rsidP="0022234E">
      <w:pPr>
        <w:tabs>
          <w:tab w:val="left" w:pos="1628"/>
        </w:tabs>
        <w:spacing w:after="100" w:afterAutospacing="1" w:line="276" w:lineRule="auto"/>
        <w:ind w:left="-567"/>
        <w:jc w:val="both"/>
        <w:rPr>
          <w:rFonts w:eastAsia="Calibri"/>
          <w:b/>
          <w:lang w:val="ro-RO" w:eastAsia="en-US"/>
        </w:rPr>
      </w:pPr>
      <w:r w:rsidRPr="0022234E">
        <w:rPr>
          <w:rFonts w:eastAsia="Calibri"/>
          <w:b/>
          <w:lang w:val="ro-RO" w:eastAsia="en-US"/>
        </w:rPr>
        <w:t>Descrierea faptelor</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Compania A, un importator mare și comerciant cu amănuntul de îmbrăcăminte, comandă rochii de la Compania B, un producător din Orientul Îndepărtat și furnizor de articole de îmbrăcăminte, în condiții de transport maritim CIF sau FOB. Contractul de vânzare stipulează că Compania B va suporta orice costuri suplimentare de transport pentru mărfurile care sunt expediate cu întârziere printr-un alt mod de transport (în mod normal pe cale aeriană) pentru a respecta termenele convenite de livrare.</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 xml:space="preserve">În cazul în care mărfurile sunt expediate cu întârziere pe cale aeriană, la intrarea în statul membru agentul declară fie valoarea CIF a mărfurilor fără costuri de transport suplimentare, sau prețul FOB plus o sumă reprezentând tariful normal pentru transportul maritim. Costurile efective mai ridicate ale transportului </w:t>
      </w:r>
      <w:r w:rsidRPr="0022234E">
        <w:rPr>
          <w:rFonts w:eastAsia="Calibri"/>
          <w:lang w:val="ro-RO" w:eastAsia="en-US"/>
        </w:rPr>
        <w:lastRenderedPageBreak/>
        <w:t>aerian suportate de Compania B sunt în prezent întotdeauna excluse din valoarea în vamă în statul membru în care a fost expus cazul.</w:t>
      </w:r>
    </w:p>
    <w:p w:rsidR="0022234E" w:rsidRPr="0022234E" w:rsidRDefault="0022234E" w:rsidP="0022234E">
      <w:pPr>
        <w:tabs>
          <w:tab w:val="left" w:pos="1628"/>
        </w:tabs>
        <w:spacing w:after="100" w:afterAutospacing="1" w:line="276" w:lineRule="auto"/>
        <w:ind w:left="-567"/>
        <w:jc w:val="both"/>
        <w:rPr>
          <w:rFonts w:eastAsia="Calibri"/>
          <w:b/>
          <w:lang w:val="ro-RO" w:eastAsia="en-US"/>
        </w:rPr>
      </w:pPr>
      <w:r w:rsidRPr="0022234E">
        <w:rPr>
          <w:rFonts w:eastAsia="Calibri"/>
          <w:b/>
          <w:lang w:val="ro-RO" w:eastAsia="en-US"/>
        </w:rPr>
        <w:t>Concluzie</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Se aplică art. 71 alin. (1) lit. (e) din UCC/ art. 74 alin. (1) pct. 5) din Cod. Toate costurile de transport până la punctul de introducere în UE trebuie să fie incluse în valoarea în vamă. Nu contează cine achită aceste costuri.</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În ceea ce privește situațiile în cauză, acest lucru înseamnă că valoarea în vamă declarată pe baza prețului CIF sau a prețului FOB trebuie să reflecte corect costurile efective de transport.</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Anexa 23-01 UCC IA (repartizarea costurilor de transport aerian) poate fi aplicată dacă costurile de transport aerian sunt afișate separat.</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În cazul în care mărfurile sunt inițial facturate CIF sau FOB, cumpărătorul și vânzătorul trebuie să convină înainte de prezentarea mărfurilor în vamă că prețul facturat va rămâne același în cazul în care termenul de livrare nu poate fi îndeplinit și mărfurile trebuie transportate pe cale aeriană în loc de cale maritimă. În acest caz, același preț este confirmat de noua condiție de livrare CIP. Acest preț CIP este baza pentru stabilirea valorii în vamă.</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Acest caz este ilustrat de următoarele exemple:</w:t>
      </w:r>
    </w:p>
    <w:p w:rsidR="0022234E" w:rsidRPr="0022234E" w:rsidRDefault="0022234E" w:rsidP="0022234E">
      <w:pPr>
        <w:tabs>
          <w:tab w:val="left" w:pos="1628"/>
        </w:tabs>
        <w:spacing w:after="100" w:afterAutospacing="1" w:line="276" w:lineRule="auto"/>
        <w:ind w:left="-567"/>
        <w:jc w:val="both"/>
        <w:rPr>
          <w:rFonts w:eastAsia="Calibri"/>
          <w:b/>
          <w:lang w:val="ro-RO" w:eastAsia="en-US"/>
        </w:rPr>
      </w:pPr>
      <w:r w:rsidRPr="0022234E">
        <w:rPr>
          <w:rFonts w:eastAsia="Calibri"/>
          <w:b/>
          <w:lang w:val="ro-RO" w:eastAsia="en-US"/>
        </w:rPr>
        <w:t>CIF</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Inițial, A cumpără un articol la prețul de 40.000 euro cu condiția de livrare "CIF portul de sosire". Modul de transport preconizat este transportul maritim (taxa de transport este de 1.000 euro pentru acest mod de transport, pe care vânzătorul B a inclus-o în prețul CIF. Astfel, prețul mărfurilor constituie 39.000 euro). Deoarece B nu poate respecta termenul limită convenit pentru livrare, mărfurile vor fi expediate pe cale aeriană. Condiția de livrare se modifică automat în "CIP aeroportul de sosire". Același preț de 40.000 euro este plătit de cumpărător, chiar dacă factura de transport aerian arată că B a plătit 2.000 euro pentru transportul aerian de mărfuri. În contextul noii condiții de livrare sunt incluse din nou costurile totale de transport. Ca o consecință a tarifelor de transport aerian aplicabile de 2.000 euro, prețul mărfurilor este de 38.000 euro</w:t>
      </w:r>
      <w:r w:rsidRPr="0022234E">
        <w:rPr>
          <w:rFonts w:eastAsia="Calibri"/>
          <w:vertAlign w:val="superscript"/>
          <w:lang w:val="ro-RO" w:eastAsia="en-US"/>
        </w:rPr>
        <w:footnoteReference w:id="5"/>
      </w:r>
      <w:r w:rsidRPr="0022234E">
        <w:rPr>
          <w:rFonts w:eastAsia="Calibri"/>
          <w:lang w:val="ro-RO" w:eastAsia="en-US"/>
        </w:rPr>
        <w:t>.</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În ceea ce privește costurile intracomunitare, partea totală a acestor costuri de transport de marfă inclusă în prețul CIP facturat (pentru livrările din China 30% din 2000 euro = 600 euro, a se vedea anexa 23-01 UCC IA) poate fi dedusă în conformitate cu art. 72 din UCC/ art. 75 din Cod. Prin urmare, valoarea în vamă a mărfurilor importate va constitui 39 400 euro.</w:t>
      </w:r>
    </w:p>
    <w:p w:rsidR="0022234E" w:rsidRPr="0022234E" w:rsidRDefault="0022234E" w:rsidP="0022234E">
      <w:pPr>
        <w:tabs>
          <w:tab w:val="left" w:pos="1628"/>
        </w:tabs>
        <w:spacing w:after="100" w:afterAutospacing="1" w:line="276" w:lineRule="auto"/>
        <w:ind w:left="-567"/>
        <w:jc w:val="both"/>
        <w:rPr>
          <w:rFonts w:eastAsia="Calibri"/>
          <w:b/>
          <w:lang w:val="ro-RO" w:eastAsia="en-US"/>
        </w:rPr>
      </w:pPr>
      <w:r w:rsidRPr="0022234E">
        <w:rPr>
          <w:rFonts w:eastAsia="Calibri"/>
          <w:b/>
          <w:lang w:val="ro-RO" w:eastAsia="en-US"/>
        </w:rPr>
        <w:t>FOB</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Mărfurile sunt facturate inițial cu suma de 40.000 euro cu condiția de livrare "FOB port China".</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lastRenderedPageBreak/>
        <w:t>Tipul de livrare preconizat este transportul maritim (taxele de transport vor fi de 1.000 euro pentru acest mod de transport, care ar fi plătit de către A). Deoarece vânzătorul B nu poate să mențină timpul de livrare convenit, mărfurile vor fi expediate prin intermediul transportului aerian cu condiția de livrare "CIP Aeroport de sosire" în loc de transportul maritim. Condițiile de livrare sunt astfel modificate de la FOB la CIP. Documentul de transport aerian arată costurile de transport aerian de 2.000 euro. Dar A trebuie să plătească doar prețul de achiziție total agreat de 40.000 euro. În noile condiții de livrare sunt incluse din nou costurile pentru transport. Ca o consecință a tarifelor de transport aerian aplicabile de 2.000 euro, prețul mărfurilor este de 38.000 euro.</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În ceea ce privește costurile intracomunitare, ponderea totală a acestor costuri de transport incluse în prețul CIP facturat (pentru livrările din China 30% din 2000 euro = 600 euro, vezi anexa 23-01 UCC IA) poate fi dedusă în conformitate cu art. 72 din UCC/ art. 75 din Cod. Prin urmare, valoarea în vamă a mărfurilor importate va constitui la 39 400 euro.</w:t>
      </w:r>
    </w:p>
    <w:p w:rsidR="0022234E" w:rsidRPr="0022234E" w:rsidRDefault="0022234E" w:rsidP="0022234E">
      <w:pPr>
        <w:spacing w:after="160" w:line="259" w:lineRule="auto"/>
        <w:ind w:left="-567" w:firstLine="425"/>
        <w:jc w:val="center"/>
        <w:rPr>
          <w:rFonts w:eastAsia="Calibri"/>
          <w:b/>
          <w:lang w:val="ro-RO" w:eastAsia="en-US"/>
        </w:rPr>
      </w:pPr>
      <w:r w:rsidRPr="0022234E">
        <w:rPr>
          <w:rFonts w:eastAsia="Calibri"/>
          <w:b/>
          <w:lang w:val="ro-RO" w:eastAsia="en-US"/>
        </w:rPr>
        <w:t>Concluziile Comitetului Codului Vamal și ale Grupului de experți vamali</w:t>
      </w:r>
      <w:r w:rsidRPr="0022234E">
        <w:rPr>
          <w:rFonts w:eastAsia="Calibri"/>
          <w:b/>
          <w:vertAlign w:val="superscript"/>
          <w:lang w:val="ro-RO" w:eastAsia="en-US"/>
        </w:rPr>
        <w:footnoteReference w:id="6"/>
      </w:r>
    </w:p>
    <w:p w:rsidR="0022234E" w:rsidRPr="0022234E" w:rsidRDefault="0022234E" w:rsidP="0022234E">
      <w:pPr>
        <w:spacing w:after="160" w:line="259" w:lineRule="auto"/>
        <w:ind w:left="-567" w:firstLine="425"/>
        <w:jc w:val="center"/>
        <w:rPr>
          <w:rFonts w:eastAsia="Calibri"/>
          <w:b/>
          <w:bCs/>
          <w:i/>
          <w:lang w:val="ro-RO" w:eastAsia="en-US"/>
        </w:rPr>
      </w:pPr>
      <w:r w:rsidRPr="0022234E">
        <w:rPr>
          <w:rFonts w:eastAsia="Calibri"/>
          <w:b/>
          <w:i/>
          <w:lang w:val="ro-RO" w:eastAsia="en-US"/>
        </w:rPr>
        <w:t xml:space="preserve"> Cu privire la </w:t>
      </w:r>
      <w:r w:rsidRPr="0022234E">
        <w:rPr>
          <w:rFonts w:eastAsia="Calibri"/>
          <w:b/>
          <w:bCs/>
          <w:i/>
          <w:lang w:val="ro-RO" w:eastAsia="en-US"/>
        </w:rPr>
        <w:t xml:space="preserve">cheltuielile de transport </w:t>
      </w:r>
    </w:p>
    <w:p w:rsidR="0022234E" w:rsidRPr="0022234E" w:rsidRDefault="0022234E" w:rsidP="0022234E">
      <w:pPr>
        <w:spacing w:after="160" w:line="259" w:lineRule="auto"/>
        <w:ind w:left="-567"/>
        <w:jc w:val="center"/>
        <w:rPr>
          <w:rFonts w:eastAsia="Calibri"/>
          <w:b/>
          <w:bCs/>
          <w:lang w:val="ro-RO" w:eastAsia="en-US"/>
        </w:rPr>
      </w:pPr>
      <w:r w:rsidRPr="0022234E">
        <w:rPr>
          <w:rFonts w:eastAsia="Calibri"/>
          <w:b/>
          <w:bCs/>
          <w:lang w:val="ro-RO" w:eastAsia="en-US"/>
        </w:rPr>
        <w:t>Concluzia nr. 6</w:t>
      </w:r>
    </w:p>
    <w:p w:rsidR="0022234E" w:rsidRPr="0022234E" w:rsidRDefault="0022234E" w:rsidP="0022234E">
      <w:pPr>
        <w:spacing w:after="160" w:line="276" w:lineRule="auto"/>
        <w:ind w:left="-567"/>
        <w:jc w:val="center"/>
        <w:rPr>
          <w:rFonts w:eastAsia="Calibri"/>
          <w:b/>
          <w:bCs/>
          <w:lang w:val="ro-RO" w:eastAsia="en-US"/>
        </w:rPr>
      </w:pPr>
      <w:r w:rsidRPr="0022234E">
        <w:rPr>
          <w:rFonts w:eastAsia="Calibri"/>
          <w:b/>
          <w:bCs/>
          <w:lang w:val="ro-RO" w:eastAsia="en-US"/>
        </w:rPr>
        <w:t>Divizarea costurilor de transport pentru mărfurile transportate pe cale ferată</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Fapte</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Un importator cumpără mărfuri dintr-o ţară terţă şi le trimite pe cale ferată către teritoriul vamal al Uniunii. La momentul punerii în liberă circulaţie, importatorul prezintă scrisoarea de trăsură împreună cu factura pentru mărfuri. În conformitate cu convenţiile internaţionale privind transportul feroviar, cheltuielile de transport din această scrisoare de trăsură sunt împărţite în două sume, dintre care prima acoperă transportul de la locul de plecare până la „punctul de legătură tarifar”, iar a doua acoperă transportul de la punctul respectiv şi până la locul de destinaţie.</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În acest caz particular, „punctul de legătură tarifar” corespunde locului de trecere a frontierei terestre a teritoriului vamal al Uniunii şi nu coincide cu locul unde se află primul birou vamal de intrare. În declaraţia de elemente referitoare la valoarea în vamă, importatorul declară cheltuielile de transport până la „punctul de legătură tarifar”.</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Avizul Comitetului</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În vederea simplificării şi în conformitate cu practica comercială, divizarea cheltuielilor de transport indicate în scrisoarea de trăsură poate fi acceptată în vederea determinării valorii în vamă. Astfel, cheltuielile de transport aferente transportului de la „punctul de legătură tarifar” şi până la locul unde se află biroul vamal de intrare în Uniune pot fi neglijate.</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Concluzia nr. 7</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Cheltuieli de transport aerian aferente importurilor fără caracter comercial</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lastRenderedPageBreak/>
        <w:t>Fapte</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O persoană cumpără un instrument muzical dintr-o ţară terţă şi îl trimite prin transport aerian către Uniune. Pe motiv că importul nu are un caracter commercial, acesta solicită să nu fie adăugate cheltuielile de transport la preţul efectiv plătit pentru mărfurile importate.</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Avizul Comitetului</w:t>
      </w:r>
    </w:p>
    <w:p w:rsidR="0022234E" w:rsidRPr="0022234E" w:rsidRDefault="0022234E" w:rsidP="0022234E">
      <w:pPr>
        <w:tabs>
          <w:tab w:val="left" w:pos="1628"/>
        </w:tabs>
        <w:spacing w:after="100" w:afterAutospacing="1" w:line="276" w:lineRule="auto"/>
        <w:ind w:left="-567"/>
        <w:jc w:val="both"/>
        <w:rPr>
          <w:rFonts w:eastAsia="Calibri"/>
          <w:lang w:val="ro-RO" w:eastAsia="en-US"/>
        </w:rPr>
      </w:pPr>
      <w:r w:rsidRPr="0022234E">
        <w:rPr>
          <w:rFonts w:eastAsia="Calibri"/>
          <w:lang w:val="ro-RO" w:eastAsia="en-US"/>
        </w:rPr>
        <w:t>În scopul determinării valorii în vamă, prevederile UE privind cheltuielile de transport nu fac o distincţie generală între operaţiuni cu caracter comercial şi operaţiuni fără caracter commercial.</w:t>
      </w:r>
    </w:p>
    <w:p w:rsidR="0022234E" w:rsidRPr="0022234E" w:rsidRDefault="0022234E" w:rsidP="0022234E">
      <w:pPr>
        <w:tabs>
          <w:tab w:val="left" w:pos="1628"/>
        </w:tabs>
        <w:spacing w:after="100" w:afterAutospacing="1" w:line="276" w:lineRule="auto"/>
        <w:ind w:left="-567"/>
        <w:jc w:val="both"/>
        <w:rPr>
          <w:lang w:val="ro-RO"/>
        </w:rPr>
      </w:pPr>
      <w:r w:rsidRPr="0022234E">
        <w:rPr>
          <w:lang w:val="ro-RO"/>
        </w:rPr>
        <w:t>În cazul de față, se aplică art. 71 alin. (1) lit. (e) din UCC/</w:t>
      </w:r>
      <w:r w:rsidRPr="0022234E">
        <w:rPr>
          <w:rFonts w:eastAsia="Calibri"/>
          <w:lang w:val="ro-RO"/>
        </w:rPr>
        <w:t xml:space="preserve"> art. 74 alin. (1) pct. 5) din Cod</w:t>
      </w:r>
      <w:r w:rsidRPr="0022234E">
        <w:rPr>
          <w:lang w:val="ro-RO"/>
        </w:rPr>
        <w:t xml:space="preserve"> și costurile de transport aerian determinate în conformitate cu normele și procentele stabilite în anexa 23-01 din UCC IA trebuie să fie incluse în valoarea în vamă.</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Concluzia nr. 8</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Recuperarea cheltuielilor de transport aerian</w:t>
      </w:r>
    </w:p>
    <w:p w:rsidR="0022234E" w:rsidRPr="0022234E" w:rsidRDefault="0022234E" w:rsidP="0022234E">
      <w:pPr>
        <w:tabs>
          <w:tab w:val="left" w:pos="1628"/>
        </w:tabs>
        <w:spacing w:after="100" w:afterAutospacing="1" w:line="276" w:lineRule="auto"/>
        <w:ind w:left="-567"/>
        <w:rPr>
          <w:rFonts w:eastAsia="Calibri"/>
          <w:b/>
          <w:bCs/>
          <w:lang w:val="ro-RO" w:eastAsia="en-US"/>
        </w:rPr>
      </w:pPr>
      <w:r w:rsidRPr="0022234E">
        <w:rPr>
          <w:rFonts w:eastAsia="Calibri"/>
          <w:b/>
          <w:bCs/>
          <w:lang w:val="ro-RO" w:eastAsia="en-US"/>
        </w:rPr>
        <w:t>Fapte</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Compania Y din Uniune cumpără mărfuri de la compania X cu sediul într-o ţară terţă. Mărfurile sunt vândute la condiția de livrare FOB şi transportate pe cale aeriană către Uniune, ca transport „</w:t>
      </w:r>
      <w:r w:rsidRPr="0022234E">
        <w:rPr>
          <w:rFonts w:eastAsia="Calibri"/>
          <w:bCs/>
          <w:i/>
          <w:iCs/>
          <w:lang w:val="ro-RO" w:eastAsia="en-US"/>
        </w:rPr>
        <w:t>charges collect</w:t>
      </w:r>
      <w:r w:rsidRPr="0022234E">
        <w:rPr>
          <w:rFonts w:eastAsia="Calibri"/>
          <w:bCs/>
          <w:lang w:val="ro-RO" w:eastAsia="en-US"/>
        </w:rPr>
        <w:t>” (plata la destinaţie).</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În sprijinul facturii de vânzare, Y prezintă autorităţilor vamale scrisoarea de transport aerian, care indică cheltuielile de transport aerian exprimate în moneda ţării exportatoare. Compania aeriană responsabilă pentru recuperarea cheltuielilor de transport converteşte suma în moneda statului membru importator şi impune, pentru recuperarea cheltuielilor de transport de la destinatar, o taxă egală cu 5% din cheltuielile de transport aerian.</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Avizul Comitetului</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Taxa de 5% pentru serviciile prestate de compania aeriană nu se raportează la elementele prevăzute la art. 71 alin. (1) lit. (e) din UCC/ art. 74 alin. (1) pct. 5) din Cod. În consecință, prin aplicarea alin. (3) al articolelor vizate, taxa respectivă nu trebuie să fie adăugată la prețul efectiv plătit sau de plătit pentru mărfurile importate.</w:t>
      </w:r>
    </w:p>
    <w:p w:rsidR="0022234E" w:rsidRPr="0022234E" w:rsidRDefault="0022234E" w:rsidP="0022234E">
      <w:pPr>
        <w:tabs>
          <w:tab w:val="left" w:pos="1628"/>
        </w:tabs>
        <w:spacing w:after="240" w:line="276" w:lineRule="auto"/>
        <w:ind w:left="-567"/>
        <w:jc w:val="center"/>
        <w:rPr>
          <w:rFonts w:eastAsia="Calibri"/>
          <w:b/>
          <w:bCs/>
          <w:lang w:val="ro-RO" w:eastAsia="en-US"/>
        </w:rPr>
      </w:pPr>
      <w:r w:rsidRPr="0022234E">
        <w:rPr>
          <w:rFonts w:eastAsia="Calibri"/>
          <w:b/>
          <w:bCs/>
          <w:lang w:val="ro-RO" w:eastAsia="en-US"/>
        </w:rPr>
        <w:t>Concluzia nr. 9</w:t>
      </w:r>
    </w:p>
    <w:p w:rsidR="0022234E" w:rsidRPr="0022234E" w:rsidRDefault="0022234E" w:rsidP="0022234E">
      <w:pPr>
        <w:tabs>
          <w:tab w:val="left" w:pos="1628"/>
        </w:tabs>
        <w:spacing w:after="120" w:line="276" w:lineRule="auto"/>
        <w:ind w:left="-567"/>
        <w:jc w:val="center"/>
        <w:rPr>
          <w:rFonts w:eastAsia="Calibri"/>
          <w:b/>
          <w:bCs/>
          <w:lang w:val="ro-RO" w:eastAsia="en-US"/>
        </w:rPr>
      </w:pPr>
      <w:r w:rsidRPr="0022234E">
        <w:rPr>
          <w:rFonts w:eastAsia="Calibri"/>
          <w:b/>
          <w:bCs/>
          <w:lang w:val="ro-RO" w:eastAsia="en-US"/>
        </w:rPr>
        <w:t>Repartizarea cheltuielilor de transport</w:t>
      </w:r>
    </w:p>
    <w:p w:rsidR="0022234E" w:rsidRPr="0022234E" w:rsidRDefault="0022234E" w:rsidP="0022234E">
      <w:pPr>
        <w:tabs>
          <w:tab w:val="left" w:pos="1628"/>
        </w:tabs>
        <w:spacing w:after="120" w:line="276" w:lineRule="auto"/>
        <w:ind w:left="-567"/>
        <w:rPr>
          <w:rFonts w:eastAsia="Calibri"/>
          <w:b/>
          <w:bCs/>
          <w:lang w:val="ro-RO" w:eastAsia="en-US"/>
        </w:rPr>
      </w:pPr>
      <w:r w:rsidRPr="0022234E">
        <w:rPr>
          <w:rFonts w:eastAsia="Calibri"/>
          <w:b/>
          <w:bCs/>
          <w:lang w:val="ro-RO" w:eastAsia="en-US"/>
        </w:rPr>
        <w:t>Fapte</w:t>
      </w:r>
    </w:p>
    <w:p w:rsidR="0022234E" w:rsidRPr="0022234E" w:rsidRDefault="0022234E" w:rsidP="0022234E">
      <w:pPr>
        <w:tabs>
          <w:tab w:val="left" w:pos="1628"/>
        </w:tabs>
        <w:spacing w:line="276" w:lineRule="auto"/>
        <w:ind w:left="-567"/>
        <w:jc w:val="both"/>
        <w:rPr>
          <w:rFonts w:eastAsia="Calibri"/>
          <w:bCs/>
          <w:lang w:val="ro-RO" w:eastAsia="en-US"/>
        </w:rPr>
      </w:pPr>
      <w:r w:rsidRPr="0022234E">
        <w:rPr>
          <w:rFonts w:eastAsia="Calibri"/>
          <w:bCs/>
          <w:lang w:val="ro-RO" w:eastAsia="en-US"/>
        </w:rPr>
        <w:t xml:space="preserve">Un transport de mărfuri perisabile este livrat în regim de consignaţie de către X, cu sediul într-o ţară terţă, societăţii Y din Uniune. Mărfurile sunt vândute prin licitaţie unui cumpărător nelegat pentru         15 000 </w:t>
      </w:r>
      <w:r w:rsidRPr="0022234E">
        <w:rPr>
          <w:rFonts w:eastAsia="Calibri"/>
          <w:bCs/>
          <w:lang w:val="ro-RO" w:eastAsia="en-US"/>
        </w:rPr>
        <w:lastRenderedPageBreak/>
        <w:t>u.c.</w:t>
      </w:r>
      <w:r w:rsidRPr="0022234E">
        <w:rPr>
          <w:rFonts w:eastAsia="Calibri"/>
          <w:bCs/>
          <w:vertAlign w:val="superscript"/>
          <w:lang w:val="ro-RO" w:eastAsia="en-US"/>
        </w:rPr>
        <w:footnoteReference w:id="7"/>
      </w:r>
      <w:r w:rsidRPr="0022234E">
        <w:rPr>
          <w:rFonts w:eastAsia="Calibri"/>
          <w:bCs/>
          <w:lang w:val="ro-RO" w:eastAsia="en-US"/>
        </w:rPr>
        <w:t>. Cheltuielile totale de transport cu camionul constituie 11 000 u.c. Aceste cheltuieli sunt considerate uzuale în sensul art. 142 alin. (5) din UCC IA/ art. 82 alin. (5) din Cod.</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Distanţa parcursă pe teritoriul Uniunii constituie doar 5% din distanţa totală, dar o scrisoare prezentată de declarant atribuie acestei distanţe 80% din cheltuielile totale de transport.</w:t>
      </w:r>
    </w:p>
    <w:p w:rsidR="0022234E" w:rsidRPr="0022234E" w:rsidRDefault="0022234E" w:rsidP="0022234E">
      <w:pPr>
        <w:tabs>
          <w:tab w:val="left" w:pos="1628"/>
        </w:tabs>
        <w:spacing w:line="276" w:lineRule="auto"/>
        <w:ind w:left="-567"/>
        <w:jc w:val="both"/>
        <w:rPr>
          <w:rFonts w:eastAsia="Calibri"/>
          <w:bCs/>
          <w:lang w:val="ro-RO" w:eastAsia="en-US"/>
        </w:rPr>
      </w:pPr>
      <w:r w:rsidRPr="0022234E">
        <w:rPr>
          <w:rFonts w:eastAsia="Calibri"/>
          <w:bCs/>
          <w:lang w:val="ro-RO" w:eastAsia="en-US"/>
        </w:rPr>
        <w:t xml:space="preserve">Valoarea în vamă nu poate, în cazul de faţă, să fie stabilită în conformitate cu prevederile art. 70 din UCC/ </w:t>
      </w:r>
      <w:r w:rsidRPr="0022234E">
        <w:rPr>
          <w:lang w:val="ro-RO"/>
        </w:rPr>
        <w:t>art. 72 din Cod</w:t>
      </w:r>
      <w:r w:rsidRPr="0022234E">
        <w:rPr>
          <w:rFonts w:eastAsia="Calibri"/>
          <w:bCs/>
          <w:lang w:val="ro-RO" w:eastAsia="en-US"/>
        </w:rPr>
        <w:t xml:space="preserve">, deoarece nu există o vânzare relevantă între X şi Y la momentul evaluării. Informaţiile necesare pentru aplicarea art. 74 alin. (2) lit. (a) sau (b) din UCC/ </w:t>
      </w:r>
      <w:r w:rsidRPr="0022234E">
        <w:rPr>
          <w:lang w:val="ro-RO"/>
        </w:rPr>
        <w:t>art. 80 alin. (3) pct. 1) sau 2) din Cod</w:t>
      </w:r>
      <w:r w:rsidRPr="0022234E">
        <w:rPr>
          <w:rFonts w:eastAsia="Calibri"/>
          <w:bCs/>
          <w:lang w:val="ro-RO" w:eastAsia="en-US"/>
        </w:rPr>
        <w:t xml:space="preserve"> nu sunt disponibile.</w:t>
      </w:r>
    </w:p>
    <w:p w:rsidR="0022234E" w:rsidRPr="0022234E" w:rsidRDefault="0022234E" w:rsidP="0022234E">
      <w:pPr>
        <w:tabs>
          <w:tab w:val="left" w:pos="1628"/>
        </w:tabs>
        <w:spacing w:line="276" w:lineRule="auto"/>
        <w:ind w:left="-567"/>
        <w:jc w:val="both"/>
        <w:rPr>
          <w:rFonts w:eastAsia="Calibri"/>
          <w:bCs/>
          <w:lang w:val="ro-RO" w:eastAsia="en-US"/>
        </w:rPr>
      </w:pPr>
    </w:p>
    <w:p w:rsidR="0022234E" w:rsidRPr="0022234E" w:rsidRDefault="0022234E" w:rsidP="0022234E">
      <w:pPr>
        <w:tabs>
          <w:tab w:val="left" w:pos="1628"/>
        </w:tabs>
        <w:spacing w:line="276" w:lineRule="auto"/>
        <w:ind w:left="-567"/>
        <w:jc w:val="both"/>
        <w:rPr>
          <w:rFonts w:eastAsia="Calibri"/>
          <w:b/>
          <w:bCs/>
          <w:lang w:val="ro-RO" w:eastAsia="en-US"/>
        </w:rPr>
      </w:pPr>
      <w:r w:rsidRPr="0022234E">
        <w:rPr>
          <w:rFonts w:eastAsia="Calibri"/>
          <w:b/>
          <w:bCs/>
          <w:lang w:val="ro-RO" w:eastAsia="en-US"/>
        </w:rPr>
        <w:t>Avizul Comitetului</w:t>
      </w:r>
    </w:p>
    <w:p w:rsidR="0022234E" w:rsidRPr="0022234E" w:rsidRDefault="0022234E" w:rsidP="0022234E">
      <w:pPr>
        <w:tabs>
          <w:tab w:val="left" w:pos="1628"/>
        </w:tabs>
        <w:spacing w:line="276" w:lineRule="auto"/>
        <w:ind w:left="-567"/>
        <w:jc w:val="both"/>
        <w:rPr>
          <w:rFonts w:eastAsia="Calibri"/>
          <w:b/>
          <w:bCs/>
          <w:lang w:val="ro-RO" w:eastAsia="en-US"/>
        </w:rPr>
      </w:pPr>
    </w:p>
    <w:p w:rsidR="0022234E" w:rsidRPr="0022234E" w:rsidRDefault="0022234E" w:rsidP="0022234E">
      <w:pPr>
        <w:tabs>
          <w:tab w:val="left" w:pos="1628"/>
        </w:tabs>
        <w:spacing w:line="276" w:lineRule="auto"/>
        <w:ind w:left="-567"/>
        <w:jc w:val="both"/>
        <w:rPr>
          <w:rFonts w:eastAsia="Calibri"/>
          <w:bCs/>
          <w:lang w:val="ro-RO" w:eastAsia="en-US"/>
        </w:rPr>
      </w:pPr>
      <w:r w:rsidRPr="0022234E">
        <w:rPr>
          <w:rFonts w:eastAsia="Calibri"/>
          <w:bCs/>
          <w:lang w:val="ro-RO" w:eastAsia="en-US"/>
        </w:rPr>
        <w:t xml:space="preserve">Pentru a determina valoarea în vamă în conformitate cu art. 74 alin. (2) lit. (c) din UCC/ art. 80 alin. (3) pct. 3) din Cod, preţul de 15 000 u.c. pentru mărfuri trebuie redus, </w:t>
      </w:r>
      <w:r w:rsidRPr="0022234E">
        <w:rPr>
          <w:rFonts w:eastAsia="Calibri"/>
          <w:bCs/>
          <w:i/>
          <w:iCs/>
          <w:lang w:val="ro-RO" w:eastAsia="en-US"/>
        </w:rPr>
        <w:t>inter alia</w:t>
      </w:r>
      <w:r w:rsidRPr="0022234E">
        <w:rPr>
          <w:rFonts w:eastAsia="Calibri"/>
          <w:bCs/>
          <w:lang w:val="ro-RO" w:eastAsia="en-US"/>
        </w:rPr>
        <w:t>, cu cheltuielile de transport şi de asigurare obişnuite survenite în Uniune, şi anume, în acest caz, 5% din suma de 11 000 u.c. plătită pentru transportul total. Indicaţia din scrisoarea de trăsură a unei repartizări fictive şi nerealiste nu va fi luată în considerare.</w:t>
      </w:r>
    </w:p>
    <w:p w:rsidR="0022234E" w:rsidRPr="0022234E" w:rsidRDefault="0022234E" w:rsidP="0022234E">
      <w:pPr>
        <w:tabs>
          <w:tab w:val="left" w:pos="1628"/>
        </w:tabs>
        <w:spacing w:line="276" w:lineRule="auto"/>
        <w:ind w:left="-567"/>
        <w:jc w:val="both"/>
        <w:rPr>
          <w:rFonts w:eastAsia="Calibri"/>
          <w:bCs/>
          <w:lang w:val="ro-RO" w:eastAsia="en-US"/>
        </w:rPr>
      </w:pP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Concluzia nr. 12</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b/>
          <w:lang w:val="ro-RO"/>
        </w:rPr>
        <w:t>Valoarea în vamă a mostrelor transportate pe cale aeriană</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Fapte</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Mostre comerciale transportate pe cale aeriană sunt importate în Uniune de către Y. Y plăteşte pentru mărfuri un preţ unitar de 5 u.c. FOB. Cheltuielile de transport până la locul de introducere pe teritoriul vamal al Uniunii sunt de 50 u.c. per mostră. La momentul importului, Y solicită autorităţilor vamale să ia în considerare cheltuielile teoretice pentru transportul maritim în locul cheltuielilor de transport suportate efectiv.</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Avizul Comitetului</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Întrucît art. 71 alin. (1) lit. (e) din UCC/ art. 74 alin. (1) pct. 5) din Cod nu prevede că ar trebui luate în considerare costuri fictive, valoarea în vamă trebuie stabilită adăugând la preţul de 5 u.c. valoarea cheltuielilor de transport de 50 u.c. per mostră suportate efectiv.</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Concluzia nr. 18</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Cheltuieli de întîrziere</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Fapte</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lastRenderedPageBreak/>
        <w:t>Importatorul Y din Uniune trebuie să achite cheltuieli de întârziere pentru mărfuri pe care le declară la introducerea pentru punerea în liberă circulaţie. Aceste cheltuieli au apărut ca urmare a întârzierilor atât la încărcarea mărfurilor în ţara exportatoare, cât şi la descărcarea acestora pe teritoriul vamal al Uniunii.</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Întrebare</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Ar trebui incluse astfel de cheltuieli în valoarea în vamă a mărfurilor? Dacă da, ar trebui incluse indiferent de locul în care au apărut?</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Avizul Comitetului</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Întrucît cheltuielile de întârziere sunt de plătit unei companii de transport pentru utilizarea mijloacelor de transport, acestea vor fi considerate ca parte a cheltuielilor de transport în sensul art. 71 alin. (1) lit. (e) din UCC/ art. 74 alin. (1) pct. 5) din Cod.</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Aplicarea dispoziţiei în cauză este limitată la cheltuielile apărute înainte de sosirea mărfurilor la locul de introducere pe teritoriul vamal al Uniunii. Prin urmare, cheltuielile de întârziere legate de întârzieri care apar înainte de sosire se includ în valoarea în vamă a mărfurilor. Pe de altă parte, cheltuielile de întârziere care apar după sosire nu sunt incluse în valoarea în vamă a mărfurilor, cu condiţia îndeplinirii condițiilor stabilite la art. 72 lit. (a) din UCC/ art. 75 pct. 1) din Cod.</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Concluzia nr. 32</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Tratamentul costurilor de transport în cazuri specifice (evaluarea așa-numitelor "kickback incentives</w:t>
      </w:r>
      <w:r w:rsidRPr="0022234E">
        <w:rPr>
          <w:rFonts w:eastAsia="Calibri"/>
          <w:b/>
          <w:bCs/>
          <w:vertAlign w:val="superscript"/>
          <w:lang w:val="ro-RO" w:eastAsia="en-US"/>
        </w:rPr>
        <w:footnoteReference w:id="8"/>
      </w:r>
      <w:r w:rsidRPr="0022234E">
        <w:rPr>
          <w:rFonts w:eastAsia="Calibri"/>
          <w:b/>
          <w:bCs/>
          <w:lang w:val="ro-RO" w:eastAsia="en-US"/>
        </w:rPr>
        <w:t xml:space="preserve">" </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 xml:space="preserve">Context </w:t>
      </w:r>
    </w:p>
    <w:p w:rsidR="0022234E" w:rsidRPr="0022234E" w:rsidRDefault="0022234E" w:rsidP="0022234E">
      <w:pPr>
        <w:tabs>
          <w:tab w:val="left" w:pos="1628"/>
        </w:tabs>
        <w:spacing w:after="100" w:afterAutospacing="1" w:line="276" w:lineRule="auto"/>
        <w:ind w:left="-567"/>
        <w:jc w:val="both"/>
        <w:rPr>
          <w:rFonts w:eastAsia="Calibri"/>
          <w:bCs/>
          <w:vertAlign w:val="superscript"/>
          <w:lang w:val="ro-RO" w:eastAsia="en-US"/>
        </w:rPr>
      </w:pPr>
      <w:r w:rsidRPr="0022234E">
        <w:rPr>
          <w:rFonts w:eastAsia="Calibri"/>
          <w:bCs/>
          <w:lang w:val="ro-RO" w:eastAsia="en-US"/>
        </w:rPr>
        <w:t>Termenul de ”kickback incentive” a fost definit ca o plată efectuată unui beneficiar ca o compensație sau remunerare pentru oferirea unui tratament favorabil unei alte părți. Deseori se consideră ca fiind o practică ne-etică sau chiar ilegală</w:t>
      </w:r>
      <w:r w:rsidRPr="0022234E">
        <w:rPr>
          <w:rFonts w:eastAsia="Calibri"/>
          <w:bCs/>
          <w:vertAlign w:val="superscript"/>
          <w:lang w:val="ro-RO" w:eastAsia="en-US"/>
        </w:rPr>
        <w:footnoteReference w:id="9"/>
      </w:r>
      <w:r w:rsidRPr="0022234E">
        <w:rPr>
          <w:rFonts w:eastAsia="Calibri"/>
          <w:bCs/>
          <w:lang w:val="ro-RO" w:eastAsia="en-US"/>
        </w:rPr>
        <w:t>.</w:t>
      </w:r>
    </w:p>
    <w:p w:rsidR="0022234E" w:rsidRPr="0022234E" w:rsidRDefault="0022234E" w:rsidP="0022234E">
      <w:pPr>
        <w:tabs>
          <w:tab w:val="left" w:pos="1628"/>
        </w:tabs>
        <w:spacing w:after="100" w:afterAutospacing="1" w:line="276" w:lineRule="auto"/>
        <w:ind w:left="-567"/>
        <w:jc w:val="both"/>
        <w:rPr>
          <w:lang w:val="ro-RO"/>
        </w:rPr>
      </w:pPr>
      <w:r w:rsidRPr="0022234E">
        <w:rPr>
          <w:rFonts w:eastAsia="Calibri"/>
          <w:bCs/>
          <w:lang w:val="ro-RO" w:eastAsia="en-US"/>
        </w:rPr>
        <w:t>În contextul examinat aici, agenții de transport în țările terțe oferă exportatorilor, spațiu pentru marfă la preț redus sau chiar negativ.</w:t>
      </w:r>
      <w:r w:rsidRPr="0022234E">
        <w:rPr>
          <w:lang w:val="ro-RO"/>
        </w:rPr>
        <w:t xml:space="preserve"> </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rFonts w:eastAsia="Calibri"/>
          <w:bCs/>
          <w:lang w:val="ro-RO" w:eastAsia="en-US"/>
        </w:rPr>
        <w:t>Acest lucru se întâmplă în principal la nivelul containerelor Less than Container Load (LCL).</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8819"/>
      </w:tblGrid>
      <w:tr w:rsidR="0022234E" w:rsidRPr="0022234E" w:rsidTr="00B4308A">
        <w:tc>
          <w:tcPr>
            <w:tcW w:w="1134" w:type="dxa"/>
            <w:shd w:val="clear" w:color="auto" w:fill="auto"/>
          </w:tcPr>
          <w:p w:rsidR="0022234E" w:rsidRPr="0022234E" w:rsidRDefault="0022234E" w:rsidP="00B4308A">
            <w:pPr>
              <w:tabs>
                <w:tab w:val="left" w:pos="1628"/>
              </w:tabs>
              <w:spacing w:after="100" w:afterAutospacing="1" w:line="276" w:lineRule="auto"/>
              <w:jc w:val="both"/>
              <w:rPr>
                <w:rFonts w:eastAsia="Calibri"/>
                <w:bCs/>
                <w:lang w:val="ro-RO" w:eastAsia="en-US"/>
              </w:rPr>
            </w:pPr>
            <w:r w:rsidRPr="0022234E">
              <w:rPr>
                <w:rFonts w:eastAsia="Calibri"/>
                <w:bCs/>
                <w:lang w:val="ro-RO" w:eastAsia="en-US"/>
              </w:rPr>
              <w:t>Notă:</w:t>
            </w:r>
          </w:p>
        </w:tc>
        <w:tc>
          <w:tcPr>
            <w:tcW w:w="8931" w:type="dxa"/>
            <w:shd w:val="clear" w:color="auto" w:fill="auto"/>
          </w:tcPr>
          <w:p w:rsidR="0022234E" w:rsidRPr="0022234E" w:rsidRDefault="0022234E" w:rsidP="00B4308A">
            <w:pPr>
              <w:tabs>
                <w:tab w:val="left" w:pos="1628"/>
              </w:tabs>
              <w:spacing w:after="100" w:afterAutospacing="1" w:line="276" w:lineRule="auto"/>
              <w:jc w:val="both"/>
              <w:rPr>
                <w:rFonts w:eastAsia="Calibri"/>
                <w:bCs/>
                <w:lang w:val="ro-RO" w:eastAsia="en-US"/>
              </w:rPr>
            </w:pPr>
            <w:r w:rsidRPr="0022234E">
              <w:rPr>
                <w:rFonts w:eastAsia="Calibri"/>
                <w:bCs/>
                <w:lang w:val="ro-RO" w:eastAsia="en-US"/>
              </w:rPr>
              <w:t>LCL este o expediere care nu este suficient de mare pentru a umple un container standard de marfă. Aceasta înseamnă că mai multe și diferite încărcături sunt transportate (depozitate) în unul și același container.</w:t>
            </w:r>
          </w:p>
        </w:tc>
      </w:tr>
    </w:tbl>
    <w:p w:rsidR="0022234E" w:rsidRPr="0022234E" w:rsidRDefault="0022234E" w:rsidP="0022234E">
      <w:pPr>
        <w:tabs>
          <w:tab w:val="left" w:pos="1628"/>
        </w:tabs>
        <w:spacing w:before="120" w:after="100" w:afterAutospacing="1" w:line="276" w:lineRule="auto"/>
        <w:ind w:left="-567"/>
        <w:jc w:val="both"/>
        <w:rPr>
          <w:rFonts w:eastAsia="Calibri"/>
          <w:bCs/>
          <w:lang w:val="ro-RO" w:eastAsia="en-US"/>
        </w:rPr>
      </w:pPr>
      <w:r w:rsidRPr="0022234E">
        <w:rPr>
          <w:rFonts w:eastAsia="Calibri"/>
          <w:bCs/>
          <w:lang w:val="ro-RO" w:eastAsia="en-US"/>
        </w:rPr>
        <w:t xml:space="preserve">Aceste cazuri se referă mai mult la încărcăturile care au fost cumpărate pe baza condiției de livrare CIF sau CFR (așa numit transport preplătit). </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lang w:val="ro-RO"/>
        </w:rPr>
        <w:lastRenderedPageBreak/>
        <w:t xml:space="preserve">Mai mult decât atât, pentru a compensa câștigul său redus din taxele de transport, din cauza ofertei de spațiu de marfă la tarife mai mici, agentul din țara terță percepe costuri suplimentare agentului care se ocupă de containerul din UE. Aceste costuri sunt facturate separat și pot fi descrise sub mai mulți termeni, precum, de exemplu (listă neexhaustivă): </w:t>
      </w:r>
      <w:r w:rsidRPr="0022234E">
        <w:rPr>
          <w:rFonts w:eastAsia="Calibri"/>
          <w:bCs/>
          <w:i/>
          <w:lang w:val="ro-RO" w:eastAsia="en-US"/>
        </w:rPr>
        <w:t>China Import (Service)Fee, THC surcharge, ISPS surcharge, Eco tax, Surcharge, Transfer fees, Incentive Refund, LCL Services Charge, Handling  Fee, Refund DeliveryOrder, Agency, Discharging, Refund or Fae East Import Surcharge etc</w:t>
      </w:r>
      <w:r w:rsidRPr="0022234E">
        <w:rPr>
          <w:rFonts w:eastAsia="Calibri"/>
          <w:bCs/>
          <w:lang w:val="ro-RO" w:eastAsia="en-US"/>
        </w:rPr>
        <w:t xml:space="preserve">. </w:t>
      </w:r>
    </w:p>
    <w:p w:rsidR="0022234E" w:rsidRPr="0022234E" w:rsidRDefault="0022234E" w:rsidP="0022234E">
      <w:pPr>
        <w:tabs>
          <w:tab w:val="left" w:pos="1628"/>
        </w:tabs>
        <w:spacing w:after="100" w:afterAutospacing="1" w:line="276" w:lineRule="auto"/>
        <w:ind w:left="-567"/>
        <w:jc w:val="both"/>
        <w:rPr>
          <w:rFonts w:eastAsia="Calibri"/>
          <w:bCs/>
          <w:lang w:val="ro-RO" w:eastAsia="en-US"/>
        </w:rPr>
      </w:pPr>
      <w:r w:rsidRPr="0022234E">
        <w:rPr>
          <w:lang w:val="ro-RO"/>
        </w:rPr>
        <w:t>Aceste costuri vor fi plătite agentului din țara terță, sub forma unui așa-numit “Kickback Incentive”, “</w:t>
      </w:r>
      <w:r w:rsidRPr="0022234E">
        <w:rPr>
          <w:bCs/>
          <w:lang w:val="ro-RO"/>
        </w:rPr>
        <w:t>Rebate”/reducere sau “Refund”/rambursare.</w:t>
      </w:r>
    </w:p>
    <w:p w:rsidR="0022234E" w:rsidRPr="0022234E" w:rsidRDefault="0022234E" w:rsidP="0022234E">
      <w:pPr>
        <w:tabs>
          <w:tab w:val="left" w:pos="1628"/>
        </w:tabs>
        <w:spacing w:after="120" w:line="276" w:lineRule="auto"/>
        <w:ind w:left="-567"/>
        <w:jc w:val="both"/>
        <w:rPr>
          <w:rFonts w:eastAsia="Calibri"/>
          <w:bCs/>
          <w:i/>
          <w:lang w:val="ro-RO" w:eastAsia="en-US"/>
        </w:rPr>
      </w:pPr>
      <w:r w:rsidRPr="0022234E">
        <w:rPr>
          <w:rFonts w:eastAsia="Calibri"/>
          <w:bCs/>
          <w:i/>
          <w:lang w:val="ro-RO" w:eastAsia="en-US"/>
        </w:rPr>
        <w:t xml:space="preserve">Exemplu </w:t>
      </w:r>
    </w:p>
    <w:p w:rsidR="0022234E" w:rsidRPr="0022234E" w:rsidRDefault="0022234E" w:rsidP="0022234E">
      <w:pPr>
        <w:tabs>
          <w:tab w:val="left" w:pos="1628"/>
        </w:tabs>
        <w:spacing w:after="120" w:line="276" w:lineRule="auto"/>
        <w:ind w:left="-567"/>
        <w:jc w:val="both"/>
        <w:rPr>
          <w:rFonts w:eastAsia="Calibri"/>
          <w:bCs/>
          <w:lang w:val="ro-RO" w:eastAsia="en-US"/>
        </w:rPr>
      </w:pPr>
      <w:r w:rsidRPr="0022234E">
        <w:rPr>
          <w:rFonts w:eastAsia="Calibri"/>
          <w:bCs/>
          <w:lang w:val="ro-RO" w:eastAsia="en-US"/>
        </w:rPr>
        <w:t>(în USD per metru cub (cbm))</w:t>
      </w:r>
    </w:p>
    <w:p w:rsidR="0022234E" w:rsidRPr="0022234E" w:rsidRDefault="0022234E" w:rsidP="0022234E">
      <w:pPr>
        <w:tabs>
          <w:tab w:val="left" w:pos="1628"/>
        </w:tabs>
        <w:spacing w:after="120" w:line="276" w:lineRule="auto"/>
        <w:ind w:left="-567"/>
        <w:jc w:val="center"/>
        <w:rPr>
          <w:rFonts w:eastAsia="Calibri"/>
          <w:b/>
          <w:bCs/>
          <w:i/>
          <w:lang w:val="ro-RO" w:eastAsia="en-US"/>
        </w:rPr>
      </w:pPr>
      <w:r w:rsidRPr="0022234E">
        <w:rPr>
          <w:rFonts w:eastAsia="Calibri"/>
          <w:b/>
          <w:bCs/>
          <w:i/>
          <w:lang w:val="ro-RO" w:eastAsia="en-US"/>
        </w:rPr>
        <w:t>Plăți</w:t>
      </w:r>
    </w:p>
    <w:p w:rsidR="0022234E" w:rsidRPr="0022234E" w:rsidRDefault="0022234E" w:rsidP="0022234E">
      <w:pPr>
        <w:tabs>
          <w:tab w:val="left" w:pos="1628"/>
        </w:tabs>
        <w:spacing w:after="120" w:line="276" w:lineRule="auto"/>
        <w:ind w:left="-567" w:firstLine="1701"/>
        <w:jc w:val="both"/>
        <w:rPr>
          <w:rFonts w:eastAsia="Calibri"/>
          <w:bCs/>
          <w:lang w:val="ro-RO" w:eastAsia="en-US"/>
        </w:rPr>
      </w:pPr>
      <w:r w:rsidRPr="0022234E">
        <w:rPr>
          <w:rFonts w:eastAsia="Calibri"/>
          <w:bCs/>
          <w:lang w:val="ro-RO" w:eastAsia="en-US"/>
        </w:rPr>
        <w:t>Agentul țării terțe trebuie să plătească companiei de transport      60</w:t>
      </w:r>
    </w:p>
    <w:p w:rsidR="0022234E" w:rsidRPr="0022234E" w:rsidRDefault="0022234E" w:rsidP="0022234E">
      <w:pPr>
        <w:tabs>
          <w:tab w:val="left" w:pos="1628"/>
        </w:tabs>
        <w:spacing w:after="120" w:line="276" w:lineRule="auto"/>
        <w:ind w:left="-567" w:firstLine="1701"/>
        <w:jc w:val="both"/>
        <w:rPr>
          <w:rFonts w:eastAsia="Calibri"/>
          <w:bCs/>
          <w:lang w:val="ro-RO" w:eastAsia="en-US"/>
        </w:rPr>
      </w:pPr>
      <w:r w:rsidRPr="0022234E">
        <w:rPr>
          <w:rFonts w:eastAsia="Calibri"/>
          <w:bCs/>
          <w:lang w:val="ro-RO" w:eastAsia="en-US"/>
        </w:rPr>
        <w:t>Profitul pentru agentul țării terțe (ipotetic)                                     10</w:t>
      </w:r>
    </w:p>
    <w:p w:rsidR="0022234E" w:rsidRPr="0022234E" w:rsidRDefault="0022234E" w:rsidP="0022234E">
      <w:pPr>
        <w:tabs>
          <w:tab w:val="left" w:pos="1628"/>
        </w:tabs>
        <w:spacing w:after="120" w:line="276" w:lineRule="auto"/>
        <w:ind w:left="-567" w:firstLine="1701"/>
        <w:jc w:val="both"/>
        <w:rPr>
          <w:rFonts w:eastAsia="Calibri"/>
          <w:bCs/>
          <w:lang w:val="ro-RO" w:eastAsia="en-US"/>
        </w:rPr>
      </w:pPr>
      <w:r w:rsidRPr="0022234E">
        <w:rPr>
          <w:rFonts w:eastAsia="Calibri"/>
          <w:bCs/>
          <w:lang w:val="ro-RO" w:eastAsia="en-US"/>
        </w:rPr>
        <w:t>Costul real al încărcăturii                                                                70</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Dar, în cazurile de încărcături sub container complet (Less Than Container Load - LCL), agentul din țara terță oferă exportatorului/vânzătorului un preț de transport de 20 USD la condiția de livrare CIF.</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Prin urmare, agentul din țara terță înregistrează o „pierdere” de 50 USD.</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Pentru a compensa „reducerea” acordată (în acest exemplu, 50 USD), agentul din țara terță instruiește agentul din UE, să perceapă o taxă suplimentară corespunzătoare de la importator. Agentul din UE percepe aceste taxe suplimentare de la expeditor, care la rândul său le transferă importatorului final.</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În final, plățile sunt returnate agentului din țara terță.</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 xml:space="preserve">Analiza    </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 xml:space="preserve">Auditurile efectuate de unele administrații vamale din UE au arătat că aceste costuri suplimentare nu sunt incluse în valoarea în vamă, atunci când mărfurile importate sunt declarate pentru punerea în liberă circulație. Deseori, declarantul nici măcar nu cunoaște suma „plății de tip kickback”. </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La final, costurile suplimentare vor fi plătite importatorului final și returnate agentului din țara terță. După cum s-a menționat mai sus, aceste costuri suplimentare și sume (denumite: „Kickback Incentive”, „Rebate” sau „Refund”) constituie compensația pentru reducerile acordate pentru taxele de transport de către agentul din țara terță.</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 xml:space="preserve">Prin urmare, importatorul plătește, separat de prețul mărfurilor, și o sumă suplimentară de costuri de transport (în acest exemplu, 50 USD), care este definită diferit (deoarece conform clauzei CIF, 20 USD sunt deja incluse în preț). </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Chiar dacă este o expediere CIF, totuși o sumă de 50 USD per metru cub (în acest exemplu) este percepută. Ar trebui ca aceste plăți să fie incluse în valoarea în vamă?</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lastRenderedPageBreak/>
        <w:t>Concluzie</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Includerea costurilor de transport în valoarea în vamă se aplică indiferent de condiția de livrare convenită, care este obiectul unui acord contractual intern între cumpărător și vânzător.</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Prin urmare, analiza principală care trebuie efectuată este dacă aceste costuri sunt direct legate de transportul mărfurilor și sunt destinate să acopere exclusiv serviciile de transport ale mărfurilor pe teritoriul vamal al UE. De asemenea, trebuie luat în considerare dacă aceste costuri au apărut efectiv înainte de intrarea mărfurilor pe teritoriul vamal al UE.</w:t>
      </w:r>
    </w:p>
    <w:p w:rsidR="0022234E" w:rsidRPr="0022234E" w:rsidRDefault="0022234E" w:rsidP="0022234E">
      <w:pPr>
        <w:tabs>
          <w:tab w:val="left" w:pos="1628"/>
        </w:tabs>
        <w:spacing w:after="240" w:line="276" w:lineRule="auto"/>
        <w:ind w:left="-567"/>
        <w:jc w:val="both"/>
        <w:rPr>
          <w:rFonts w:eastAsia="Calibri"/>
          <w:bCs/>
          <w:lang w:val="ro-RO" w:eastAsia="en-US"/>
        </w:rPr>
      </w:pPr>
      <w:r w:rsidRPr="0022234E">
        <w:rPr>
          <w:rFonts w:eastAsia="Calibri"/>
          <w:bCs/>
          <w:lang w:val="ro-RO" w:eastAsia="en-US"/>
        </w:rPr>
        <w:t xml:space="preserve">Dacă ambele condiții sunt îndeplinite, atunci aceste costuri trebuie incluse în valoarea în vamă a mărfurilor importate, conform art. 71, alin. (1), lit. e) din UCC/ </w:t>
      </w:r>
      <w:r w:rsidRPr="0022234E">
        <w:rPr>
          <w:lang w:val="ro-RO"/>
        </w:rPr>
        <w:t>art. 74 alin. (1) pct. 5) din Cod</w:t>
      </w:r>
      <w:r w:rsidRPr="0022234E">
        <w:rPr>
          <w:rFonts w:eastAsia="Calibri"/>
          <w:bCs/>
          <w:lang w:val="ro-RO" w:eastAsia="en-US"/>
        </w:rPr>
        <w:t>.</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Concluzia nr. 33</w:t>
      </w:r>
    </w:p>
    <w:p w:rsidR="0022234E" w:rsidRPr="0022234E" w:rsidRDefault="0022234E" w:rsidP="0022234E">
      <w:pPr>
        <w:tabs>
          <w:tab w:val="left" w:pos="1628"/>
        </w:tabs>
        <w:spacing w:after="100" w:afterAutospacing="1" w:line="276" w:lineRule="auto"/>
        <w:ind w:left="-567"/>
        <w:jc w:val="center"/>
        <w:rPr>
          <w:rFonts w:eastAsia="Calibri"/>
          <w:b/>
          <w:bCs/>
          <w:lang w:val="ro-RO" w:eastAsia="en-US"/>
        </w:rPr>
      </w:pPr>
      <w:r w:rsidRPr="0022234E">
        <w:rPr>
          <w:rFonts w:eastAsia="Calibri"/>
          <w:b/>
          <w:bCs/>
          <w:lang w:val="ro-RO" w:eastAsia="en-US"/>
        </w:rPr>
        <w:t>Tratamentul anumitor costuri pentru cântărirea containerelor</w:t>
      </w:r>
    </w:p>
    <w:p w:rsidR="0022234E" w:rsidRPr="0022234E" w:rsidRDefault="0022234E" w:rsidP="0022234E">
      <w:pPr>
        <w:tabs>
          <w:tab w:val="left" w:pos="1628"/>
        </w:tabs>
        <w:spacing w:after="100" w:afterAutospacing="1" w:line="276" w:lineRule="auto"/>
        <w:ind w:left="-567"/>
        <w:jc w:val="both"/>
        <w:rPr>
          <w:rFonts w:eastAsia="Calibri"/>
          <w:b/>
          <w:bCs/>
          <w:lang w:val="ro-RO" w:eastAsia="en-US"/>
        </w:rPr>
      </w:pPr>
      <w:r w:rsidRPr="0022234E">
        <w:rPr>
          <w:rFonts w:eastAsia="Calibri"/>
          <w:b/>
          <w:bCs/>
          <w:lang w:val="ro-RO" w:eastAsia="en-US"/>
        </w:rPr>
        <w:t xml:space="preserve">Context </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Datorită reglementărilor de securitate impuse de Organizația Maritimă Internațională (IMO), toate containerele trebuie cântărite în portul de export pentru a obține permisiunea de a fi încărcate pe navă. </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 Expeditorul este responsabil pentru furnizarea masei brute verificate, prin indicarea acesteia în documentele de transport, iar căpitanul este responsabil de verificarea masei brute declarate în documentele de transport.</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În practică, același echipament utilizat pentru încărcarea mărfurilor (containere) pe nave, poate fi echipat și pentru efectuarea cântăririi containerelor.</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Problema abordată</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Această cerință nouă de cântărire generează costuri suplimentare. Acest cost poate fi suportat de către exportator, sau transmis importatorului. De asemenea, în dependență de condițiile de livrare (Incoterms), costul poate fi direct suportat de către importator. </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Problema este dacă această taxă trebuie inclusă în valoarea în vamă a mărfurilor importate.    </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Prevederi de reglementare relevante</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Potrivit art. 71 din UCC, „</w:t>
      </w:r>
      <w:r w:rsidRPr="0022234E">
        <w:rPr>
          <w:rFonts w:eastAsia="Calibri"/>
          <w:bCs/>
          <w:i/>
          <w:lang w:val="ro-RO" w:eastAsia="en-US"/>
        </w:rPr>
        <w:t>pentru a se determina valoarea în vamă în temeiul articolului 70, la prețul efectiv plătit sau de plătit pentru mărfurile importate se adaugă:</w:t>
      </w:r>
    </w:p>
    <w:p w:rsidR="0022234E" w:rsidRPr="0022234E" w:rsidRDefault="0022234E" w:rsidP="0022234E">
      <w:pPr>
        <w:tabs>
          <w:tab w:val="left" w:pos="-284"/>
        </w:tabs>
        <w:spacing w:after="100" w:afterAutospacing="1" w:line="276" w:lineRule="auto"/>
        <w:ind w:hanging="567"/>
        <w:jc w:val="both"/>
        <w:rPr>
          <w:rFonts w:eastAsia="Calibri"/>
          <w:bCs/>
          <w:i/>
          <w:lang w:val="ro-RO" w:eastAsia="en-US"/>
        </w:rPr>
      </w:pPr>
      <w:r w:rsidRPr="0022234E">
        <w:rPr>
          <w:rFonts w:eastAsia="Calibri"/>
          <w:bCs/>
          <w:i/>
          <w:lang w:val="ro-RO" w:eastAsia="en-US"/>
        </w:rPr>
        <w:t xml:space="preserve">(e) următoarele costuri, până la locul în care mărfurile sunt introduse pe teritoriul vamal al Uniunii: </w:t>
      </w:r>
    </w:p>
    <w:p w:rsidR="0022234E" w:rsidRPr="0022234E" w:rsidRDefault="0022234E" w:rsidP="0022234E">
      <w:pPr>
        <w:tabs>
          <w:tab w:val="left" w:pos="-284"/>
        </w:tabs>
        <w:spacing w:after="100" w:afterAutospacing="1" w:line="276" w:lineRule="auto"/>
        <w:ind w:hanging="284"/>
        <w:jc w:val="both"/>
        <w:rPr>
          <w:rFonts w:eastAsia="Calibri"/>
          <w:bCs/>
          <w:i/>
          <w:lang w:val="ro-RO" w:eastAsia="en-US"/>
        </w:rPr>
      </w:pPr>
      <w:r w:rsidRPr="0022234E">
        <w:rPr>
          <w:rFonts w:eastAsia="Calibri"/>
          <w:bCs/>
          <w:i/>
          <w:lang w:val="ro-RO" w:eastAsia="en-US"/>
        </w:rPr>
        <w:t>(i) cheltuielile de transport și costul asigurării mărfurilor importate; și</w:t>
      </w:r>
    </w:p>
    <w:p w:rsidR="0022234E" w:rsidRPr="0022234E" w:rsidRDefault="0022234E" w:rsidP="0022234E">
      <w:pPr>
        <w:tabs>
          <w:tab w:val="left" w:pos="-284"/>
        </w:tabs>
        <w:spacing w:after="100" w:afterAutospacing="1" w:line="276" w:lineRule="auto"/>
        <w:ind w:hanging="284"/>
        <w:jc w:val="both"/>
        <w:rPr>
          <w:rFonts w:eastAsia="Calibri"/>
          <w:bCs/>
          <w:i/>
          <w:lang w:val="ro-RO" w:eastAsia="en-US"/>
        </w:rPr>
      </w:pPr>
      <w:r w:rsidRPr="0022234E">
        <w:rPr>
          <w:rFonts w:eastAsia="Calibri"/>
          <w:bCs/>
          <w:i/>
          <w:lang w:val="ro-RO" w:eastAsia="en-US"/>
        </w:rPr>
        <w:t>(ii) costurile de încărcare și manipulare legate de transportul mărfurilor importate.”</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Observații și concluzii</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lastRenderedPageBreak/>
        <w:t xml:space="preserve">Potrivit art. 70 alin. (2) din UCC/ </w:t>
      </w:r>
      <w:r w:rsidRPr="0022234E">
        <w:rPr>
          <w:lang w:val="ro-RO"/>
        </w:rPr>
        <w:t>art. 72 alin. (2) din Cod</w:t>
      </w:r>
      <w:r w:rsidRPr="0022234E">
        <w:rPr>
          <w:rFonts w:eastAsia="Calibri"/>
          <w:bCs/>
          <w:lang w:val="ro-RO" w:eastAsia="en-US"/>
        </w:rPr>
        <w:t>, prețul efectiv plătit sau de plătit cuprinde toate plățile efectuate sau de efectuat drept condiție a vânzării mărfurilor importate.</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În cazul de față, aceste costuri pot fi considerate ca fiind legate de, sau ca o condiție a, transportului mărfurilor. </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Prin urmare, întrebarea trebuie abordată având în vedere art. 71 lit. (e) din UCC. Reglementările UE nu prevăd o definiție a costurilor de transport (sau a costurilor de încărcare sau manipulare).</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Nici TCCV al OMV, nici Comitetul Codului Vamal nu au adoptat instrumente generale privind costurile de transport care să fie relevante în acest caz. </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Pe de altă parte, Curtea de Justiție a Uniunii Europene (CJUE), în hotărârea sa privind Cazul C-11/89, a afirmat că… </w:t>
      </w:r>
      <w:r w:rsidRPr="0022234E">
        <w:rPr>
          <w:rFonts w:eastAsia="Calibri"/>
          <w:bCs/>
          <w:i/>
          <w:lang w:val="ro-RO" w:eastAsia="en-US"/>
        </w:rPr>
        <w:t>termenul ”costul transportului” trebuie interpretat ca incluzând toate costurile, fie că sunt de bază sau costuri incidentale, suportate în legătură cu transportarea mărfurilor către teritoriul vamal al Uniunii...</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Această abordarea generală pare a fi aplicabilă în cazul de față. Într-adevăr, obligația de cântărire (și costurile legate) constituie o etapă esențială în întregul proces de transport, care nu ar putea avea loc dacă containerele nu ar fi cântărite.</w:t>
      </w:r>
    </w:p>
    <w:p w:rsidR="0022234E" w:rsidRPr="0022234E" w:rsidRDefault="0022234E" w:rsidP="0022234E">
      <w:pPr>
        <w:numPr>
          <w:ilvl w:val="0"/>
          <w:numId w:val="1"/>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Prin urmare, pare rezonabil să se considere că costurile operațiunilor, cum ar fi cântărirea, legate de încărcarea mărfurilor și a containerelor încărcate pe nave, ar trebui considerate ca fiind legate de transportul mărfurilor și, prin urmare, incluse în valoarea în vamă conform art. 71 alin. (1) lit. (e) pct. (ii) din UCC/ art. 74 alin. (1) pct. 5) lit. b) din Cod.</w:t>
      </w:r>
    </w:p>
    <w:p w:rsidR="0022234E" w:rsidRPr="0022234E" w:rsidRDefault="0022234E" w:rsidP="0022234E">
      <w:pPr>
        <w:tabs>
          <w:tab w:val="left" w:pos="-284"/>
        </w:tabs>
        <w:spacing w:after="100" w:afterAutospacing="1" w:line="276" w:lineRule="auto"/>
        <w:ind w:left="-567"/>
        <w:jc w:val="center"/>
        <w:rPr>
          <w:rFonts w:eastAsia="Calibri"/>
          <w:b/>
          <w:bCs/>
          <w:lang w:val="ro-RO" w:eastAsia="en-US"/>
        </w:rPr>
      </w:pPr>
      <w:r w:rsidRPr="0022234E">
        <w:rPr>
          <w:rFonts w:eastAsia="Calibri"/>
          <w:b/>
          <w:bCs/>
          <w:lang w:val="ro-RO" w:eastAsia="en-US"/>
        </w:rPr>
        <w:t>Concluzia nr. 34</w:t>
      </w:r>
    </w:p>
    <w:p w:rsidR="0022234E" w:rsidRPr="0022234E" w:rsidRDefault="0022234E" w:rsidP="0022234E">
      <w:pPr>
        <w:tabs>
          <w:tab w:val="left" w:pos="-284"/>
        </w:tabs>
        <w:spacing w:after="100" w:afterAutospacing="1" w:line="276" w:lineRule="auto"/>
        <w:ind w:left="-567"/>
        <w:jc w:val="center"/>
        <w:rPr>
          <w:rFonts w:eastAsia="Calibri"/>
          <w:b/>
          <w:bCs/>
          <w:lang w:val="ro-RO" w:eastAsia="en-US"/>
        </w:rPr>
      </w:pPr>
      <w:r w:rsidRPr="0022234E">
        <w:rPr>
          <w:rFonts w:eastAsia="Calibri"/>
          <w:b/>
          <w:bCs/>
          <w:lang w:val="ro-RO" w:eastAsia="en-US"/>
        </w:rPr>
        <w:t xml:space="preserve"> Tratamentul costurilor de depozitare</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 xml:space="preserve">Context   </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
          <w:bCs/>
          <w:lang w:val="ro-RO" w:eastAsia="en-US"/>
        </w:rPr>
      </w:pPr>
      <w:r w:rsidRPr="0022234E">
        <w:rPr>
          <w:rFonts w:eastAsia="Calibri"/>
          <w:bCs/>
          <w:lang w:val="ro-RO" w:eastAsia="en-US"/>
        </w:rPr>
        <w:t>Este o practică comercială obișnuită ca anumite mărfuri, deja vândute, să fie depozitate pentru o „perioadă intermediară” înainte de a fi vămuite. În anumite cazuri, mărfurile sunt depozitate pentru o perioadă înainte de a fi încărcate, deoarece în acest interval trebuie să suporte anumite tratamente pentru a face posibile operațiunile de încărcare.</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
          <w:bCs/>
          <w:lang w:val="ro-RO" w:eastAsia="en-US"/>
        </w:rPr>
      </w:pPr>
      <w:r w:rsidRPr="0022234E">
        <w:rPr>
          <w:rFonts w:eastAsia="Calibri"/>
          <w:bCs/>
          <w:lang w:val="ro-RO" w:eastAsia="en-US"/>
        </w:rPr>
        <w:t xml:space="preserve">Practică cea mai comună este depozitarea temporară a acestora într-un terminal, așteptând procedurile de încărcare care preced expedierea. În această perioadă, mărfurile </w:t>
      </w:r>
      <w:r w:rsidRPr="0022234E">
        <w:rPr>
          <w:rFonts w:eastAsia="Calibri"/>
          <w:bCs/>
          <w:i/>
          <w:lang w:val="ro-RO" w:eastAsia="en-US"/>
        </w:rPr>
        <w:t>pot suferi și tratamente necesare</w:t>
      </w:r>
      <w:r w:rsidRPr="0022234E">
        <w:rPr>
          <w:rFonts w:eastAsia="Calibri"/>
          <w:bCs/>
          <w:lang w:val="ro-RO" w:eastAsia="en-US"/>
        </w:rPr>
        <w:t xml:space="preserve"> pentru a face posibilă operațiunea de încărcare (de exemplu, fluidizarea prin încălzire și pomparea materialelor semilichide precum melasa și uleiul de palmier).</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 xml:space="preserve">Problema abordată </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Trebuie costurile depozitării intermediare a mărfurilor (și a tratamentelor intermediare precum tratamentul termic) în țara de export, sau chiar în porturile din altă țară terță (în cazul transbordării) să fie incluse în valoarea mărfurilor?</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Analiza</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În afară de cazul costurilor de depozitare intermediară care sunt deja incluse în valoarea tranzacției a bunurilor importate, atunci când costurile pentru acele (intermediare) operațiuni într-un sens mai larg </w:t>
      </w:r>
      <w:r w:rsidRPr="0022234E">
        <w:rPr>
          <w:rFonts w:eastAsia="Calibri"/>
          <w:bCs/>
          <w:lang w:val="ro-RO" w:eastAsia="en-US"/>
        </w:rPr>
        <w:lastRenderedPageBreak/>
        <w:t xml:space="preserve">(depozitare și manipulare) sunt în orice fel suportate de către cumpărător și trebuie evaluate de către vamă la momentul vămuirii?   </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Ghidarea OMV</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Comentariul nr. 7.1 al TCCV al OMV oferă o viziune asupra acestei probleme, deoarece se referă la </w:t>
      </w:r>
      <w:r w:rsidRPr="0022234E">
        <w:rPr>
          <w:rFonts w:eastAsia="Calibri"/>
          <w:bCs/>
          <w:i/>
          <w:lang w:val="ro-RO" w:eastAsia="en-US"/>
        </w:rPr>
        <w:t>costurile de depozitare</w:t>
      </w:r>
      <w:r w:rsidRPr="0022234E">
        <w:rPr>
          <w:rFonts w:eastAsia="Calibri"/>
          <w:bCs/>
          <w:lang w:val="ro-RO" w:eastAsia="en-US"/>
        </w:rPr>
        <w:t xml:space="preserve">, fără a lua în considerare constelația </w:t>
      </w:r>
      <w:r w:rsidRPr="0022234E">
        <w:rPr>
          <w:rFonts w:eastAsia="Calibri"/>
          <w:bCs/>
          <w:i/>
          <w:lang w:val="ro-RO" w:eastAsia="en-US"/>
        </w:rPr>
        <w:t>altor costuri intermediare, cum ar fi costurile de încărcare</w:t>
      </w:r>
      <w:r w:rsidRPr="0022234E">
        <w:rPr>
          <w:rFonts w:eastAsia="Calibri"/>
          <w:bCs/>
          <w:lang w:val="ro-RO" w:eastAsia="en-US"/>
        </w:rPr>
        <w:t xml:space="preserve"> și excluzând explicit orice alte costuri legate de </w:t>
      </w:r>
      <w:r w:rsidRPr="0022234E">
        <w:rPr>
          <w:rFonts w:eastAsia="Calibri"/>
          <w:bCs/>
          <w:i/>
          <w:lang w:val="ro-RO" w:eastAsia="en-US"/>
        </w:rPr>
        <w:t>tratamentele intermediare</w:t>
      </w:r>
      <w:r w:rsidRPr="0022234E">
        <w:rPr>
          <w:rFonts w:eastAsia="Calibri"/>
          <w:bCs/>
          <w:lang w:val="ro-RO" w:eastAsia="en-US"/>
        </w:rPr>
        <w:t xml:space="preserve">.  </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Paragraful 5 a Comentariului concluzionează că costurile </w:t>
      </w:r>
      <w:r w:rsidRPr="0022234E">
        <w:rPr>
          <w:rFonts w:eastAsia="Calibri"/>
          <w:bCs/>
          <w:i/>
          <w:lang w:val="ro-RO" w:eastAsia="en-US"/>
        </w:rPr>
        <w:t>de depozitare</w:t>
      </w:r>
      <w:r w:rsidRPr="0022234E">
        <w:rPr>
          <w:rFonts w:eastAsia="Calibri"/>
          <w:bCs/>
          <w:lang w:val="ro-RO" w:eastAsia="en-US"/>
        </w:rPr>
        <w:t xml:space="preserve"> legate de transportul mărfurilor pot fi considerate ca fiind costuri legate de transport. Prin urmare, astfel de costuri sunt reglementate de art.</w:t>
      </w:r>
      <w:r w:rsidRPr="0022234E">
        <w:rPr>
          <w:rFonts w:eastAsia="Calibri"/>
          <w:b/>
          <w:bCs/>
          <w:lang w:val="ro-RO" w:eastAsia="en-US"/>
        </w:rPr>
        <w:t xml:space="preserve"> </w:t>
      </w:r>
      <w:r w:rsidRPr="0022234E">
        <w:rPr>
          <w:rFonts w:eastAsia="Calibri"/>
          <w:bCs/>
          <w:lang w:val="ro-RO" w:eastAsia="en-US"/>
        </w:rPr>
        <w:t xml:space="preserve">8 alin. (2) lit. (b) din Acord (În legislația UE – art. 71, alin. (1), lit. e), pct ii) din UCC/ </w:t>
      </w:r>
      <w:r w:rsidRPr="0022234E">
        <w:rPr>
          <w:lang w:val="ro-RO"/>
        </w:rPr>
        <w:t>art. 74 alin. (1) pct. 5) lit. b) din Cod</w:t>
      </w:r>
      <w:r w:rsidRPr="0022234E">
        <w:rPr>
          <w:rFonts w:eastAsia="Calibri"/>
          <w:bCs/>
          <w:lang w:val="ro-RO" w:eastAsia="en-US"/>
        </w:rPr>
        <w:t>).</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Totuși, în anumite cazuri poate fi dificil sau chiar imposibil (de exemplu, chiar și în timpul unui audit post-vămuire) să se stabilească dacă depozitarea mărfurilor (și posibilele tratamente intermediare în depozit) </w:t>
      </w:r>
      <w:r w:rsidRPr="0022234E">
        <w:rPr>
          <w:rFonts w:eastAsia="Calibri"/>
          <w:bCs/>
          <w:i/>
          <w:lang w:val="ro-RO" w:eastAsia="en-US"/>
        </w:rPr>
        <w:t>sunt legate de transportul acestora</w:t>
      </w:r>
      <w:r w:rsidRPr="0022234E">
        <w:rPr>
          <w:rFonts w:eastAsia="Calibri"/>
          <w:bCs/>
          <w:lang w:val="ro-RO" w:eastAsia="en-US"/>
        </w:rPr>
        <w:t>.</w:t>
      </w:r>
    </w:p>
    <w:p w:rsidR="0022234E" w:rsidRPr="0022234E" w:rsidRDefault="0022234E" w:rsidP="0022234E">
      <w:pPr>
        <w:tabs>
          <w:tab w:val="left" w:pos="-284"/>
        </w:tabs>
        <w:spacing w:after="100" w:afterAutospacing="1" w:line="276" w:lineRule="auto"/>
        <w:ind w:left="-567"/>
        <w:jc w:val="both"/>
        <w:rPr>
          <w:rFonts w:eastAsia="Calibri"/>
          <w:b/>
          <w:bCs/>
          <w:lang w:val="ro-RO" w:eastAsia="en-US"/>
        </w:rPr>
      </w:pPr>
      <w:r w:rsidRPr="0022234E">
        <w:rPr>
          <w:rFonts w:eastAsia="Calibri"/>
          <w:b/>
          <w:bCs/>
          <w:lang w:val="ro-RO" w:eastAsia="en-US"/>
        </w:rPr>
        <w:t xml:space="preserve">Observații și abordarea propusă   </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 xml:space="preserve">În acest sens, este util să se ia în considerare dacă există o bază legală și practică pentru </w:t>
      </w:r>
      <w:r w:rsidRPr="0022234E">
        <w:rPr>
          <w:rFonts w:eastAsia="Calibri"/>
          <w:bCs/>
          <w:i/>
          <w:lang w:val="ro-RO" w:eastAsia="en-US"/>
        </w:rPr>
        <w:t>a aplica un prag de timp de referință practic</w:t>
      </w:r>
      <w:r w:rsidRPr="0022234E">
        <w:rPr>
          <w:rFonts w:eastAsia="Calibri"/>
          <w:bCs/>
          <w:lang w:val="ro-RO" w:eastAsia="en-US"/>
        </w:rPr>
        <w:t xml:space="preserve">, pentru a distinge între: a) </w:t>
      </w:r>
      <w:r w:rsidRPr="0022234E">
        <w:rPr>
          <w:rFonts w:eastAsia="Calibri"/>
          <w:bCs/>
          <w:i/>
          <w:lang w:val="ro-RO" w:eastAsia="en-US"/>
        </w:rPr>
        <w:t>depozitarea într-o perioadă de timp prescrisă</w:t>
      </w:r>
      <w:r w:rsidRPr="0022234E">
        <w:rPr>
          <w:rFonts w:eastAsia="Calibri"/>
          <w:bCs/>
          <w:lang w:val="ro-RO" w:eastAsia="en-US"/>
        </w:rPr>
        <w:t xml:space="preserve"> (care trebuie considerată ca fiind direct asociată transportului) și b) </w:t>
      </w:r>
      <w:r w:rsidRPr="0022234E">
        <w:rPr>
          <w:rFonts w:eastAsia="Calibri"/>
          <w:bCs/>
          <w:i/>
          <w:lang w:val="ro-RO" w:eastAsia="en-US"/>
        </w:rPr>
        <w:t>depozitarea care depășește perioada de timp prescrisă</w:t>
      </w:r>
      <w:r w:rsidRPr="0022234E">
        <w:rPr>
          <w:rFonts w:eastAsia="Calibri"/>
          <w:bCs/>
          <w:lang w:val="ro-RO" w:eastAsia="en-US"/>
        </w:rPr>
        <w:t>. În ultimul caz, ar fi necesar să se facă o examinare detaliată a motivelor și circumstanțelor depozitării (mărfurilor) pentru a stabili dacă depozitarea (și eventualele tratamente intermediare în depozit) sunt încă asociate cu transportul.</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Totuși, în termeni strict legali, o astfel de abordare necesită o bază (legală) de reglementare. Mai mult, un prag de timp fix este foarte greu de stabilit, deoarece timpul „normal” de depozitare poate varia semnificativ (din cauza naturii mărfurilor, tratamentelor preventive necesare, etc.).</w:t>
      </w:r>
    </w:p>
    <w:p w:rsidR="0022234E" w:rsidRPr="0022234E" w:rsidRDefault="0022234E" w:rsidP="0022234E">
      <w:pPr>
        <w:numPr>
          <w:ilvl w:val="0"/>
          <w:numId w:val="2"/>
        </w:numPr>
        <w:tabs>
          <w:tab w:val="left" w:pos="-284"/>
        </w:tabs>
        <w:spacing w:after="100" w:afterAutospacing="1" w:line="276" w:lineRule="auto"/>
        <w:ind w:left="-567" w:firstLine="0"/>
        <w:jc w:val="both"/>
        <w:rPr>
          <w:rFonts w:eastAsia="Calibri"/>
          <w:bCs/>
          <w:lang w:val="ro-RO" w:eastAsia="en-US"/>
        </w:rPr>
      </w:pPr>
      <w:r w:rsidRPr="0022234E">
        <w:rPr>
          <w:rFonts w:eastAsia="Calibri"/>
          <w:bCs/>
          <w:lang w:val="ro-RO" w:eastAsia="en-US"/>
        </w:rPr>
        <w:t>O abordare posibilă ar fi, prin urmare, determinarea dacă această depozitare intermediară și tratamentul legat de aceasta, sunt funcționale și indispensabile pentru transportul mărfurilor</w:t>
      </w:r>
      <w:r w:rsidRPr="0022234E">
        <w:rPr>
          <w:rFonts w:eastAsia="Calibri"/>
          <w:b/>
          <w:bCs/>
          <w:lang w:val="ro-RO" w:eastAsia="en-US"/>
        </w:rPr>
        <w:t>.</w:t>
      </w:r>
      <w:r w:rsidRPr="0022234E">
        <w:rPr>
          <w:rFonts w:eastAsia="Calibri"/>
          <w:bCs/>
          <w:lang w:val="ro-RO" w:eastAsia="en-US"/>
        </w:rPr>
        <w:t xml:space="preserve"> Cu alte cuvinte, dacă transportul nu ar putea avea loc în cazul în care mărfurile nu fac obiectul unor tratamente specifice, atunci costurile acestor tratamente (și ale depozitării necesare pentru realizarea acestora) ar trebui considerate ca fiind direct legate de transportul mărfurilor (sau echivalente cu taxele de încărcare) și, prin urmare, incluse în valoarea în vamă, conform art. 71 alin. (1) lit. (e) pct. (ii) din UCC/ art. 74 alin. (1) pct. 5) lit. b) din Cod). </w:t>
      </w:r>
    </w:p>
    <w:p w:rsidR="0022234E" w:rsidRPr="0022234E" w:rsidRDefault="0022234E" w:rsidP="0022234E">
      <w:pPr>
        <w:tabs>
          <w:tab w:val="left" w:pos="-284"/>
        </w:tabs>
        <w:spacing w:after="100" w:afterAutospacing="1" w:line="276" w:lineRule="auto"/>
        <w:ind w:left="-567"/>
        <w:jc w:val="both"/>
        <w:rPr>
          <w:rFonts w:eastAsia="Calibri"/>
          <w:bCs/>
          <w:lang w:val="ro-RO" w:eastAsia="en-US"/>
        </w:rPr>
      </w:pPr>
      <w:r w:rsidRPr="0022234E">
        <w:rPr>
          <w:rFonts w:eastAsia="Calibri"/>
          <w:bCs/>
          <w:lang w:val="ro-RO" w:eastAsia="en-US"/>
        </w:rPr>
        <w:t xml:space="preserve">Este evident că o astfel de analiză trebuie efectuată pentru situații individuale de la caz la caz.   </w:t>
      </w:r>
    </w:p>
    <w:p w:rsidR="0022234E" w:rsidRPr="0022234E" w:rsidRDefault="0022234E" w:rsidP="0022234E">
      <w:pPr>
        <w:spacing w:after="160" w:line="259" w:lineRule="auto"/>
        <w:ind w:left="-567" w:firstLine="425"/>
        <w:jc w:val="both"/>
        <w:rPr>
          <w:rFonts w:eastAsia="Calibri"/>
          <w:lang w:val="ro-RO" w:eastAsia="en-US"/>
        </w:rPr>
      </w:pPr>
    </w:p>
    <w:p w:rsidR="004D3098" w:rsidRPr="0022234E" w:rsidRDefault="004D3098">
      <w:pPr>
        <w:rPr>
          <w:lang w:val="ro-RO"/>
        </w:rPr>
      </w:pPr>
    </w:p>
    <w:sectPr w:rsidR="004D3098" w:rsidRPr="0022234E" w:rsidSect="002C1923">
      <w:headerReference w:type="even" r:id="rId7"/>
      <w:footerReference w:type="even" r:id="rId8"/>
      <w:footerReference w:type="default" r:id="rId9"/>
      <w:headerReference w:type="first" r:id="rId10"/>
      <w:footerReference w:type="first" r:id="rId11"/>
      <w:pgSz w:w="11906" w:h="16838"/>
      <w:pgMar w:top="1134" w:right="707" w:bottom="568"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554" w:rsidRDefault="009F6554" w:rsidP="0022234E">
      <w:r>
        <w:separator/>
      </w:r>
    </w:p>
  </w:endnote>
  <w:endnote w:type="continuationSeparator" w:id="0">
    <w:p w:rsidR="009F6554" w:rsidRDefault="009F6554" w:rsidP="0022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7B" w:rsidRDefault="009F6554">
    <w:pPr>
      <w:tabs>
        <w:tab w:val="center" w:pos="4153"/>
        <w:tab w:val="right" w:pos="8306"/>
      </w:tabs>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23" w:rsidRDefault="009F6554">
    <w:pPr>
      <w:pStyle w:val="a8"/>
      <w:jc w:val="center"/>
    </w:pPr>
    <w:r>
      <w:fldChar w:fldCharType="begin"/>
    </w:r>
    <w:r>
      <w:instrText>PAGE   \* MERGEFORMAT</w:instrText>
    </w:r>
    <w:r>
      <w:fldChar w:fldCharType="separate"/>
    </w:r>
    <w:r w:rsidR="0022234E">
      <w:rPr>
        <w:noProof/>
      </w:rPr>
      <w:t>10</w:t>
    </w:r>
    <w:r>
      <w:fldChar w:fldCharType="end"/>
    </w:r>
  </w:p>
  <w:p w:rsidR="0051147B" w:rsidRDefault="009F6554">
    <w:pPr>
      <w:tabs>
        <w:tab w:val="center" w:pos="4153"/>
        <w:tab w:val="right" w:pos="8306"/>
      </w:tabs>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7B" w:rsidRDefault="009F6554">
    <w:pPr>
      <w:tabs>
        <w:tab w:val="center" w:pos="4153"/>
        <w:tab w:val="right" w:pos="8306"/>
      </w:tabs>
      <w:rPr>
        <w:sz w:val="20"/>
      </w:rPr>
    </w:pPr>
  </w:p>
  <w:p w:rsidR="0051147B" w:rsidRDefault="009F6554">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554" w:rsidRDefault="009F6554" w:rsidP="0022234E">
      <w:r>
        <w:separator/>
      </w:r>
    </w:p>
  </w:footnote>
  <w:footnote w:type="continuationSeparator" w:id="0">
    <w:p w:rsidR="009F6554" w:rsidRDefault="009F6554" w:rsidP="0022234E">
      <w:r>
        <w:continuationSeparator/>
      </w:r>
    </w:p>
  </w:footnote>
  <w:footnote w:id="1">
    <w:p w:rsidR="0022234E" w:rsidRPr="00503534" w:rsidRDefault="0022234E" w:rsidP="0022234E">
      <w:pPr>
        <w:pStyle w:val="a5"/>
        <w:jc w:val="both"/>
        <w:rPr>
          <w:i/>
          <w:lang w:val="ro-RO"/>
        </w:rPr>
      </w:pPr>
      <w:r>
        <w:rPr>
          <w:rStyle w:val="a7"/>
        </w:rPr>
        <w:footnoteRef/>
      </w:r>
      <w:r w:rsidRPr="00577DC6">
        <w:rPr>
          <w:lang w:val="en-US"/>
        </w:rPr>
        <w:t xml:space="preserve"> </w:t>
      </w:r>
      <w:r w:rsidRPr="00503534">
        <w:rPr>
          <w:i/>
          <w:lang w:val="ro-RO"/>
        </w:rPr>
        <w:t>Publicate în Secțiunea C din Compediu de texte privind valoarea în vamă, Ediția 2024</w:t>
      </w:r>
    </w:p>
  </w:footnote>
  <w:footnote w:id="2">
    <w:p w:rsidR="0022234E" w:rsidRPr="00503534" w:rsidRDefault="0022234E" w:rsidP="0022234E">
      <w:pPr>
        <w:pStyle w:val="a5"/>
        <w:jc w:val="both"/>
        <w:rPr>
          <w:i/>
          <w:lang w:val="en-US"/>
        </w:rPr>
      </w:pPr>
      <w:r w:rsidRPr="00503534">
        <w:rPr>
          <w:rStyle w:val="a7"/>
          <w:i/>
        </w:rPr>
        <w:footnoteRef/>
      </w:r>
      <w:r w:rsidRPr="00503534">
        <w:rPr>
          <w:i/>
          <w:lang w:val="en-US"/>
        </w:rPr>
        <w:t xml:space="preserve"> Regulamentul </w:t>
      </w:r>
      <w:r>
        <w:rPr>
          <w:i/>
          <w:lang w:val="en-US"/>
        </w:rPr>
        <w:t>de p</w:t>
      </w:r>
      <w:r w:rsidRPr="00503534">
        <w:rPr>
          <w:i/>
          <w:lang w:val="en-US"/>
        </w:rPr>
        <w:t xml:space="preserve">unere </w:t>
      </w:r>
      <w:r>
        <w:rPr>
          <w:i/>
          <w:lang w:val="en-US"/>
        </w:rPr>
        <w:t>în a</w:t>
      </w:r>
      <w:r w:rsidRPr="00503534">
        <w:rPr>
          <w:i/>
          <w:lang w:val="en-US"/>
        </w:rPr>
        <w:t xml:space="preserve">plicare (UE) 2015/2447 </w:t>
      </w:r>
      <w:r>
        <w:rPr>
          <w:i/>
          <w:lang w:val="en-US"/>
        </w:rPr>
        <w:t>al</w:t>
      </w:r>
      <w:r w:rsidRPr="00503534">
        <w:rPr>
          <w:i/>
          <w:lang w:val="en-US"/>
        </w:rPr>
        <w:t xml:space="preserve"> Comisiei din 24 noiembrie 2015 de stabilire a unor norme pentru punerea în aplicare a anumitor dispoziții din Regulamentul (UE) nr. 952/2013 al Parlamentului European și al Consiliului de stabilire a Codului vamal al Uniunii - în continuare UCC IA</w:t>
      </w:r>
    </w:p>
  </w:footnote>
  <w:footnote w:id="3">
    <w:p w:rsidR="0022234E" w:rsidRPr="000B3B6D" w:rsidRDefault="0022234E" w:rsidP="0022234E">
      <w:pPr>
        <w:pStyle w:val="a5"/>
        <w:rPr>
          <w:lang w:val="ro-RO"/>
        </w:rPr>
      </w:pPr>
      <w:r w:rsidRPr="00503534">
        <w:rPr>
          <w:rStyle w:val="a7"/>
          <w:i/>
        </w:rPr>
        <w:footnoteRef/>
      </w:r>
      <w:r w:rsidRPr="00F9271E">
        <w:rPr>
          <w:i/>
          <w:lang w:val="en-US"/>
        </w:rPr>
        <w:t xml:space="preserve"> </w:t>
      </w:r>
      <w:r w:rsidRPr="00503534">
        <w:rPr>
          <w:i/>
          <w:lang w:val="ro-RO"/>
        </w:rPr>
        <w:t>Uniunea Europeană – în continuare UE</w:t>
      </w:r>
    </w:p>
  </w:footnote>
  <w:footnote w:id="4">
    <w:p w:rsidR="0022234E" w:rsidRPr="007453BE" w:rsidRDefault="0022234E" w:rsidP="0022234E">
      <w:pPr>
        <w:pStyle w:val="a5"/>
        <w:ind w:right="-141"/>
        <w:rPr>
          <w:lang w:val="en-US"/>
        </w:rPr>
      </w:pPr>
      <w:r>
        <w:rPr>
          <w:rStyle w:val="a7"/>
        </w:rPr>
        <w:footnoteRef/>
      </w:r>
      <w:r w:rsidRPr="007453BE">
        <w:rPr>
          <w:lang w:val="en-US"/>
        </w:rPr>
        <w:t xml:space="preserve"> </w:t>
      </w:r>
      <w:r w:rsidRPr="007453BE">
        <w:rPr>
          <w:i/>
          <w:lang w:val="en-US"/>
        </w:rPr>
        <w:t xml:space="preserve">Regulamentul (UE) </w:t>
      </w:r>
      <w:r>
        <w:rPr>
          <w:i/>
          <w:lang w:val="en-US"/>
        </w:rPr>
        <w:t>nr</w:t>
      </w:r>
      <w:r w:rsidRPr="007453BE">
        <w:rPr>
          <w:i/>
          <w:lang w:val="en-US"/>
        </w:rPr>
        <w:t xml:space="preserve">. 952/2013 </w:t>
      </w:r>
      <w:r>
        <w:rPr>
          <w:i/>
          <w:lang w:val="en-US"/>
        </w:rPr>
        <w:t>al</w:t>
      </w:r>
      <w:r w:rsidRPr="007453BE">
        <w:rPr>
          <w:i/>
          <w:lang w:val="en-US"/>
        </w:rPr>
        <w:t xml:space="preserve"> Parlamentului European </w:t>
      </w:r>
      <w:r>
        <w:rPr>
          <w:i/>
          <w:lang w:val="en-US"/>
        </w:rPr>
        <w:t>ș</w:t>
      </w:r>
      <w:r w:rsidRPr="007453BE">
        <w:rPr>
          <w:i/>
          <w:lang w:val="en-US"/>
        </w:rPr>
        <w:t xml:space="preserve">i </w:t>
      </w:r>
      <w:r>
        <w:rPr>
          <w:i/>
          <w:lang w:val="en-US"/>
        </w:rPr>
        <w:t>al</w:t>
      </w:r>
      <w:r w:rsidRPr="007453BE">
        <w:rPr>
          <w:i/>
          <w:lang w:val="en-US"/>
        </w:rPr>
        <w:t xml:space="preserve"> Consiliului din 9 octombrie 2013 de stabilire a Codului vamal al Uniunii – în continuare UCC</w:t>
      </w:r>
    </w:p>
  </w:footnote>
  <w:footnote w:id="5">
    <w:p w:rsidR="0022234E" w:rsidRPr="00AB13B9" w:rsidRDefault="0022234E" w:rsidP="0022234E">
      <w:pPr>
        <w:pStyle w:val="a5"/>
        <w:rPr>
          <w:lang w:val="en-US"/>
        </w:rPr>
      </w:pPr>
      <w:r>
        <w:rPr>
          <w:rStyle w:val="a7"/>
        </w:rPr>
        <w:footnoteRef/>
      </w:r>
      <w:r w:rsidRPr="00AB13B9">
        <w:rPr>
          <w:lang w:val="en-US"/>
        </w:rPr>
        <w:t xml:space="preserve"> Acest calcul se face doar în scop ilustrativ, factura poate arăta doar suma totală de 40.000 euro.</w:t>
      </w:r>
    </w:p>
  </w:footnote>
  <w:footnote w:id="6">
    <w:p w:rsidR="0022234E" w:rsidRPr="00503534" w:rsidRDefault="0022234E" w:rsidP="0022234E">
      <w:pPr>
        <w:pStyle w:val="a5"/>
        <w:jc w:val="both"/>
        <w:rPr>
          <w:i/>
          <w:lang w:val="ro-RO"/>
        </w:rPr>
      </w:pPr>
      <w:r>
        <w:rPr>
          <w:rStyle w:val="a7"/>
        </w:rPr>
        <w:footnoteRef/>
      </w:r>
      <w:r w:rsidRPr="00577DC6">
        <w:rPr>
          <w:lang w:val="en-US"/>
        </w:rPr>
        <w:t xml:space="preserve"> </w:t>
      </w:r>
      <w:r w:rsidRPr="00503534">
        <w:rPr>
          <w:i/>
          <w:lang w:val="ro-RO"/>
        </w:rPr>
        <w:t xml:space="preserve">Publicate în Secțiunea </w:t>
      </w:r>
      <w:r>
        <w:rPr>
          <w:i/>
          <w:lang w:val="ro-RO"/>
        </w:rPr>
        <w:t>D</w:t>
      </w:r>
      <w:r w:rsidRPr="00503534">
        <w:rPr>
          <w:i/>
          <w:lang w:val="ro-RO"/>
        </w:rPr>
        <w:t xml:space="preserve"> din Compediu de texte privind valoarea în vamă, Ediția 2024</w:t>
      </w:r>
    </w:p>
  </w:footnote>
  <w:footnote w:id="7">
    <w:p w:rsidR="0022234E" w:rsidRPr="00F9271E" w:rsidRDefault="0022234E" w:rsidP="0022234E">
      <w:pPr>
        <w:pStyle w:val="a5"/>
        <w:rPr>
          <w:lang w:val="ro-RO"/>
        </w:rPr>
      </w:pPr>
      <w:r>
        <w:rPr>
          <w:rStyle w:val="a7"/>
        </w:rPr>
        <w:footnoteRef/>
      </w:r>
      <w:r w:rsidRPr="002C1923">
        <w:rPr>
          <w:lang w:val="en-US"/>
        </w:rPr>
        <w:t xml:space="preserve"> </w:t>
      </w:r>
      <w:r>
        <w:rPr>
          <w:lang w:val="ro-RO"/>
        </w:rPr>
        <w:t xml:space="preserve">u.c. - </w:t>
      </w:r>
      <w:r w:rsidRPr="00F9271E">
        <w:rPr>
          <w:i/>
          <w:lang w:val="en-US"/>
        </w:rPr>
        <w:t>unități convenționale</w:t>
      </w:r>
    </w:p>
  </w:footnote>
  <w:footnote w:id="8">
    <w:p w:rsidR="0022234E" w:rsidRPr="00D2795F" w:rsidRDefault="0022234E" w:rsidP="0022234E">
      <w:pPr>
        <w:pStyle w:val="a5"/>
        <w:rPr>
          <w:lang w:val="ro-RO"/>
        </w:rPr>
      </w:pPr>
      <w:r>
        <w:rPr>
          <w:rStyle w:val="a7"/>
        </w:rPr>
        <w:footnoteRef/>
      </w:r>
      <w:r w:rsidRPr="00D2795F">
        <w:rPr>
          <w:lang w:val="ro-RO"/>
        </w:rPr>
        <w:t xml:space="preserve"> </w:t>
      </w:r>
      <w:r w:rsidRPr="00D2795F">
        <w:rPr>
          <w:bCs/>
          <w:lang w:val="en-US"/>
        </w:rPr>
        <w:t>stimuli financiari ilegali/ comisioane ascunse</w:t>
      </w:r>
    </w:p>
  </w:footnote>
  <w:footnote w:id="9">
    <w:p w:rsidR="0022234E" w:rsidRPr="00A66B0C" w:rsidRDefault="0022234E" w:rsidP="0022234E">
      <w:pPr>
        <w:pStyle w:val="a5"/>
        <w:rPr>
          <w:lang w:val="ro-RO"/>
        </w:rPr>
      </w:pPr>
      <w:r>
        <w:rPr>
          <w:rStyle w:val="a7"/>
        </w:rPr>
        <w:footnoteRef/>
      </w:r>
      <w:r w:rsidRPr="00A66B0C">
        <w:rPr>
          <w:lang w:val="ro-RO"/>
        </w:rPr>
        <w:t xml:space="preserve"> www.investopedia.com/terms/k/kickback.asp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7B" w:rsidRDefault="009F6554">
    <w:pPr>
      <w:framePr w:wrap="auto" w:vAnchor="text" w:hAnchor="margin" w:xAlign="center" w:y="1"/>
      <w:tabs>
        <w:tab w:val="center" w:pos="4153"/>
        <w:tab w:val="right" w:pos="8306"/>
      </w:tabs>
      <w:rPr>
        <w:sz w:val="20"/>
      </w:rPr>
    </w:pPr>
    <w:r>
      <w:rPr>
        <w:sz w:val="20"/>
        <w:lang w:val="en"/>
      </w:rPr>
      <w:fldChar w:fldCharType="begin"/>
    </w:r>
    <w:r>
      <w:rPr>
        <w:sz w:val="20"/>
        <w:lang w:val="en"/>
      </w:rPr>
      <w:instrText xml:space="preserve">PAGE  </w:instrText>
    </w:r>
    <w:r>
      <w:rPr>
        <w:sz w:val="20"/>
        <w:lang w:val="en"/>
      </w:rPr>
      <w:fldChar w:fldCharType="end"/>
    </w:r>
  </w:p>
  <w:p w:rsidR="0051147B" w:rsidRDefault="009F6554">
    <w:pPr>
      <w:tabs>
        <w:tab w:val="center" w:pos="4153"/>
        <w:tab w:val="right" w:pos="8306"/>
      </w:tabs>
      <w:ind w:right="36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47B" w:rsidRDefault="009F6554">
    <w:pPr>
      <w:pStyle w:val="a3"/>
      <w:jc w:val="center"/>
    </w:pPr>
  </w:p>
  <w:p w:rsidR="0051147B" w:rsidRDefault="009F6554">
    <w:pPr>
      <w:tabs>
        <w:tab w:val="center" w:pos="4153"/>
        <w:tab w:val="right" w:pos="8306"/>
      </w:tabs>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D5EF3"/>
    <w:multiLevelType w:val="hybridMultilevel"/>
    <w:tmpl w:val="7F44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351F1"/>
    <w:multiLevelType w:val="hybridMultilevel"/>
    <w:tmpl w:val="BCD0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6"/>
    <w:rsid w:val="001E60B6"/>
    <w:rsid w:val="0022234E"/>
    <w:rsid w:val="004D3098"/>
    <w:rsid w:val="009F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C2AD"/>
  <w15:chartTrackingRefBased/>
  <w15:docId w15:val="{62E2795E-A861-491D-B7A5-602DCB1B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3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34E"/>
    <w:pPr>
      <w:tabs>
        <w:tab w:val="center" w:pos="4680"/>
        <w:tab w:val="right" w:pos="9360"/>
      </w:tabs>
    </w:pPr>
    <w:rPr>
      <w:rFonts w:ascii="Calibri" w:hAnsi="Calibri"/>
      <w:sz w:val="22"/>
      <w:szCs w:val="22"/>
      <w:lang w:val="lt-LT" w:eastAsia="lt-LT"/>
    </w:rPr>
  </w:style>
  <w:style w:type="character" w:customStyle="1" w:styleId="a4">
    <w:name w:val="Верхний колонтитул Знак"/>
    <w:basedOn w:val="a0"/>
    <w:link w:val="a3"/>
    <w:uiPriority w:val="99"/>
    <w:rsid w:val="0022234E"/>
    <w:rPr>
      <w:rFonts w:ascii="Calibri" w:eastAsia="Times New Roman" w:hAnsi="Calibri" w:cs="Times New Roman"/>
      <w:lang w:val="lt-LT" w:eastAsia="lt-LT"/>
    </w:rPr>
  </w:style>
  <w:style w:type="paragraph" w:styleId="a5">
    <w:name w:val="footnote text"/>
    <w:basedOn w:val="a"/>
    <w:link w:val="a6"/>
    <w:uiPriority w:val="99"/>
    <w:semiHidden/>
    <w:unhideWhenUsed/>
    <w:rsid w:val="0022234E"/>
    <w:rPr>
      <w:sz w:val="20"/>
      <w:szCs w:val="20"/>
    </w:rPr>
  </w:style>
  <w:style w:type="character" w:customStyle="1" w:styleId="a6">
    <w:name w:val="Текст сноски Знак"/>
    <w:basedOn w:val="a0"/>
    <w:link w:val="a5"/>
    <w:uiPriority w:val="99"/>
    <w:semiHidden/>
    <w:rsid w:val="0022234E"/>
    <w:rPr>
      <w:rFonts w:ascii="Times New Roman" w:eastAsia="Times New Roman" w:hAnsi="Times New Roman" w:cs="Times New Roman"/>
      <w:sz w:val="20"/>
      <w:szCs w:val="20"/>
      <w:lang w:eastAsia="ru-RU"/>
    </w:rPr>
  </w:style>
  <w:style w:type="character" w:styleId="a7">
    <w:name w:val="footnote reference"/>
    <w:uiPriority w:val="99"/>
    <w:semiHidden/>
    <w:unhideWhenUsed/>
    <w:rsid w:val="0022234E"/>
    <w:rPr>
      <w:vertAlign w:val="superscript"/>
    </w:rPr>
  </w:style>
  <w:style w:type="paragraph" w:styleId="a8">
    <w:name w:val="footer"/>
    <w:basedOn w:val="a"/>
    <w:link w:val="a9"/>
    <w:uiPriority w:val="99"/>
    <w:unhideWhenUsed/>
    <w:rsid w:val="0022234E"/>
    <w:pPr>
      <w:tabs>
        <w:tab w:val="center" w:pos="4680"/>
        <w:tab w:val="right" w:pos="9360"/>
      </w:tabs>
    </w:pPr>
    <w:rPr>
      <w:rFonts w:ascii="Calibri" w:hAnsi="Calibri"/>
      <w:sz w:val="22"/>
      <w:szCs w:val="22"/>
    </w:rPr>
  </w:style>
  <w:style w:type="character" w:customStyle="1" w:styleId="a9">
    <w:name w:val="Нижний колонтитул Знак"/>
    <w:basedOn w:val="a0"/>
    <w:link w:val="a8"/>
    <w:uiPriority w:val="99"/>
    <w:rsid w:val="0022234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4151</Words>
  <Characters>23663</Characters>
  <Application>Microsoft Office Word</Application>
  <DocSecurity>0</DocSecurity>
  <Lines>197</Lines>
  <Paragraphs>55</Paragraphs>
  <ScaleCrop>false</ScaleCrop>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Bitca Mihaela</dc:creator>
  <cp:keywords/>
  <dc:description/>
  <cp:lastModifiedBy>Bitca Mihaela</cp:lastModifiedBy>
  <cp:revision>2</cp:revision>
  <dcterms:created xsi:type="dcterms:W3CDTF">2025-01-03T11:38:00Z</dcterms:created>
  <dcterms:modified xsi:type="dcterms:W3CDTF">2025-01-03T11:39:00Z</dcterms:modified>
</cp:coreProperties>
</file>